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聊开管发〔2023〕19号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聊城经济技术开发区管理委员会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关于推进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钢管产业高质量发展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》的通知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各街道办事处，机关各单位，各分支机构，各产业园区、国有企业：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both"/>
        <w:textAlignment w:val="auto"/>
        <w:rPr>
          <w:rFonts w:hint="default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深入贯彻落实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聊城市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《关于推进钢管产业高质量发展的意见》，切实做好供给侧结构性改革，淘汰落后产能，顺利实现开发区钢管产业转型升级，经管委会研究，结合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区实际，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现就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推动钢管产业高质量发展制定以下实施意见。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指导思想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both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以习近平新时代中国特色社会主义思想为指导，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深入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贯彻落实党的二十大精神和习近平总书记对山东工作的重要指示，围绕“走在前、开新局”战略指引，按照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省委省政府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市委市政府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部署，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以制造业强区建设为统领，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不断优化发展环境和完善产业生态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积极融入以国内大循环为主体、国内国际双循环相互促进的新发展格局，着力打造具有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特色的高质量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钢管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产业体系。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主要目标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both"/>
        <w:textAlignment w:val="auto"/>
        <w:rPr>
          <w:rFonts w:hint="eastAsia"/>
          <w:highlight w:val="none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促进钢管产业高质量发展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基本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目标，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结合我区钢管产业的实际，实现供给侧结构性改革和动能转换。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围绕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钢管产业转型升级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丰富钢管产业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集群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维度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，推进产业垂直整合、横向集聚，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深化钢管产业上下游协同发展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，不断推动产业价值升级，加快推动产业基础高级化、产业现代化，全力构建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全国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先进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钢管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产业基地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，提升聊城钢管在全国的知名度和美誉度，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将开发区钢管产业打造成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具有全国影响力的主导产业集群、产业基地，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把开发区建设成为国内知名的绿色管都、钢管商贸基地。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力争到2025年，规上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钢管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，营业收入达到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合金管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和特殊合金管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占比达到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，培育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家50亿元以上的无缝钢管加工企业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全力争创国家钢管产品质量提升示范区，打造全国优质钢管产销基地。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）推动技术创新，优化产品结构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加快产品结构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调整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，加大技术含量高、附加值高的高档无缝钢管研发力度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注重发展热处理能力，促进产业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向下游产业石油、军工、航空航天、高新技术等高端管材领域延伸，突出发展碳钢、钛钢、合金钢无缝钢管等优势产品，提高合金管整体比重，错位发展产品种类，推动钢管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全产业链发展。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）分层梯次培育，壮大产业集群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15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着力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打造聊城钢管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品牌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培育一批研发能力强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产品质量高、经济效益好的优质企业，不断提高钢管产业核心竞争力。以提高制造业质量和效益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为目标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，精心打造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国家级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产业集群。为品牌建设和发展提供政策支撑，探索建立政府推动、企业主动、媒体互动、社会组织参与的全方位整体培育机制，以品牌大企业为引领，构建品牌梯次培育、梯次发展新格局。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一）推动钢管产业转型升级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1.优化产业布局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，补增优势产能。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利用市场化、法治化手段推动钢管产业升级，提升我区钢管产业核心竞争力，鼓励新上高端优势项目，为钢管产业高质量发展蓄势赋能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做好新旧动能转换工作，引导企业对能源利用效率低、污染物排放量大的斜体炉机组及设备实施技术改造和转型升级。经济发展部要做好项目谋划和研判等工作；行政审批服务部做好项目核准备案、节能审查、环评审批等工作；资规分局做好项目规划、土地等方面要素保障及职责权限范围内相关工作；生态环境分局做好项目污染物排放总量确认、执法监管等职责权限范围内相关工作；各街道办事处做好辖区内项目的推进工作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（责任单位：经济发展部、行政审批服务部、资规分局、生态环境分局、各街道办事处）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2.加大技术改造力度，提升生产工艺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。引导钢管企业提高先进机组的占比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，实施智能化技改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。鼓励龙头企业或资本雄厚的团体引进高速连轧机组，大幅度提高生产效率，降低生产成本。通过优化产品种类，提高产品质量，提高我区钢管企业的核心竞争力。支持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  <w:t>改造项目，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lang w:eastAsia="zh-CN"/>
        </w:rPr>
        <w:t>按政策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  <w:t>给予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  <w:t>支持。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（责任单位：经济发展部）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leftChars="0"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3.优化产品结构，加快产业转型升级。加快钢管产品从结构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leftChars="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单一、低附加值产品向特色、高端、高附加值产品转变，在保持传统产品优势的情况下，深入发展合金管、复合管、特种管等优势产品，提高合金管整体生产比重，错位发展产品种类，提高企业效益和竞争力。对于高端合金管的高端应用领域，如航空、船舶、汽车制造等方面，鼓励钢管企业与科研机构、应用企业深度合作，了解企业具体应用场景，对具有高性能需求的材料进行定向研发，提高产品的市场转化率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（责任单位：经济发展部、商务和投资促进部）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（二）打造现代化高精管材产业园区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6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统筹土地、能耗、环境容量等要素指标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开发建设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kern w:val="2"/>
          <w:position w:val="0"/>
          <w:sz w:val="32"/>
          <w:szCs w:val="32"/>
          <w:highlight w:val="none"/>
          <w:shd w:val="clear" w:color="auto" w:fill="auto"/>
          <w:lang w:eastAsia="zh-CN" w:bidi="ar-SA"/>
        </w:rPr>
        <w:t>加工、贸易、仓储一体的高精管材产业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推动钢管产业集约化、绿色化、智能化发展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kern w:val="2"/>
          <w:position w:val="0"/>
          <w:sz w:val="32"/>
          <w:szCs w:val="32"/>
          <w:highlight w:val="none"/>
          <w:shd w:val="clear" w:color="auto" w:fill="auto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将园区明确为主城区钢管生产加工企业“退城进园”的最佳载体，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highlight w:val="none"/>
          <w:shd w:val="clear" w:color="auto" w:fill="auto"/>
          <w:lang w:eastAsia="zh-CN" w:bidi="ar-SA"/>
        </w:rPr>
        <w:t>利用园区在政策支持、产业带动、配套服务等方面的优势，促进主城区产业布局优化、企业转型升级，进而为城区建设腾出空间。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推动钢管生产企业重点提升技术工艺、扩大生产规模、优化产品结构、提高经济效益，实现做大做强。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（责任单位：经济发展部、商务和投资促进部、资规分局）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0"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1.现代化交易市场。以规模化为导向，园区内建设高标准的现代化交易市场，打造全国优质钢管产销基地。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highlight w:val="none"/>
          <w:shd w:val="clear" w:color="auto" w:fill="auto"/>
          <w:lang w:eastAsia="zh-CN" w:bidi="ar-SA"/>
        </w:rPr>
        <w:t>打造高精管材智能制造示范区、数字金融服务贸易示范区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Chars="0"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2.建设现代化钢管集中加工中心。推动在园区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eastAsia="zh-CN"/>
        </w:rPr>
        <w:t>集中钢管加工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理念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通过采用最新技术提升钢管加工工艺水平，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有效提升产品质量，降低生产成本，减少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能耗与污染排放，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增强我区钢管产业竞争力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对接筛选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优质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eastAsia="zh-CN"/>
        </w:rPr>
        <w:t>载体企业，探索通过现有钢管企业托管、国有企业领投、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相关企业跟投的模式，迅速实现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现代化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钢管集中加工中心落地见效。</w:t>
      </w:r>
    </w:p>
    <w:p>
      <w:pPr>
        <w:pStyle w:val="11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1"/>
        <w:rPr>
          <w:rFonts w:hint="default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构建废旧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钢材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回收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体系。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依托现代化高精管材产业园区，结合我区钢管产业的工业基础，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推动废旧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钢铁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循环利用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产业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发展。按照产业集聚、优势互补、错位发展、示范带动的原则，重点从合理布局回收网点、推进分拣中心建设、畅通废旧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钢铁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转运渠道、建立废旧物资逆向回收体系、培育骨干回收加工企业等五个方面对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废旧钢材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回收网络加以完善。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提高再生资源加工利用技术装备水平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加大再生资源先进加工利用技术装备推广应用力度，推动再生资源加工利用企业提质升级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）构建钢管产业综合性信息平台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高精管材产业园区为基础，以电子交易为纽带，以信息资讯、金融担保、个性化增值服务为核心服务内容，以规范化仓储管理、专业承包物流服务、集约高效深加工系统为基础，打造集采购、销售、加工、仓储、配送、金融、信息等功能于一体的专业化钢管产业综合性信息服务平台。通过客户关系管理、供应商关系管理、供应链网络优化、供应链协同优化，发展面向全国的、功能齐全、交易安全、会员集聚的钢管产业综合性信息服务平台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（责任单位：经济发展部、商务和投资促进部、市场监督管理部）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1.构建钢管配套物流服务平台。依托钢管产业综合性信息服务平台，搭建符合今后钢管产业转型发展的、具有核心竞争力的集国际化仓储贸易、电子商务、金融担保、信息管理等功能于一体的物流服务体系，帮助钢管企业降低物流成本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将目前散乱资源整合到一个物流平台，统一进行物流信息的供需双向发布，统一物流交易撮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合、统一配货，从而实现物流效率的最大化、物流成本的最低化。通过政府引导、企业主导的方式加大政、企以及下游钢管用户沟通力度，整合现有资源打造物流统一交易平台，力推对上游钢坯生产企业联合采购，实现统一配货，降低物流费用，提高钢管企业产品直供率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2.构建钢管研发创新平台。主要承担钢管产品、特种管材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6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及制造工艺技术的研发，促进企业间技术交流，推进企业技术中心建设，完善提升现有企业自主创新能力。钢管产业研发创新平台要以市场为导向、以企业为主体，推动行业自主创新体系建设，完善提升现有企业自主创新能力，搭建企业间技术交流平台，推进企业与科研院所的技术联合，促进“产学研用”技术交流，集聚高端人才，逐步加大科研投入，形成完善的技术创新体系，提升我区钢管产业整体技术创新能力，重点掌握高品质、高技术含量、高经济效益的精品管材生产技术，支撑我区钢管产业“高端化、高质化、高效化”发展，完成产品结构从低端产品向中高端产品的战略性转移和跨越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6" w:lineRule="exact"/>
        <w:ind w:leftChars="0"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3.构建钢管公共检测平台。构建钢管产业公共检测平台，切实监督企业进行质量检测，严把质量关，杜绝未经质量检验产品流向市场。同时，改善公共检测平台人才结构，提升检测设备能力，提高服务水平，将公共检测平台作为钢管产业的一面旗帜，优化钢管产业服务水平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6" w:lineRule="exact"/>
        <w:ind w:leftChars="0"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4.构建钢管能源监测平台。充分利用工业互联网、“两化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6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融合”等手段，打造钢管产业能源监测平台，涵盖能源使用、节能减排、环境保护等方面，将企业能耗、污染物排放等数据进行在线实时监测，减少产业能源消耗，降低生产成本，优化生产流程，完善我区绿色钢管产业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立足钢管产业发展需要招才引智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结合聊城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人才“新政”，采用多种奖励机制、成长机制，积极招纳企业发展需要的人才，做到引得进、用得好、留得住。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（责任单位：党群工作部、经济发展部、商务和投资促进部）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鼓励支持企业加强人才培养、申报人才工程，针对入选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泰山学者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泰山领军人才工程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百千万人才工程”等省级重点人才，给予一定扶持。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平台“培养人才”，加强技术工人队伍建设，鼓励企业与聊城大学、聊城职业技术学院、山东工程技师学院等院校合作建立战略合作关系和实训基地，培养一批实用技术型人才，全面提高人才队伍素质和水平，为产业高质量发展提供人才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结合实施企业家培训计划，每年组织产业内优秀企业家对标学习，提升企业经营管理水平。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" w:hAnsi="楷体" w:eastAsia="楷体" w:cs="楷体_GB2312"/>
          <w:sz w:val="32"/>
          <w:szCs w:val="32"/>
          <w:lang w:val="en"/>
        </w:rPr>
        <w:t>开展银企对接</w:t>
      </w:r>
      <w:r>
        <w:rPr>
          <w:rFonts w:hint="eastAsia" w:ascii="楷体" w:hAnsi="楷体" w:eastAsia="楷体" w:cs="楷体_GB2312"/>
          <w:sz w:val="32"/>
          <w:szCs w:val="32"/>
          <w:lang w:val="en" w:eastAsia="zh-CN"/>
        </w:rPr>
        <w:t>，做好产融服务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"/>
        </w:rPr>
        <w:t>联合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" w:eastAsia="zh-CN"/>
        </w:rPr>
        <w:t>各金融机构、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银行，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钢管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产业高质量发展“政企对接暨金融政策宣讲”等系列活动。加强银企合作，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企业与银行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合作桥梁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，切实解决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钢管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加工企业融资难问题，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钢管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产业带来新机遇、注入新动力，持续优化金融服务，为企业纾困解难发挥积极作用。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（责任单位：经济发展部、财政金融部）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Chars="0"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）加快产业两化融合进程，促进产业高质量发展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把两化深度融合作为企业转型升级、创新发展的主战略，积极利用信息技术支持企业在产品研发、生产、销售、服务等诸多方面实现信息采集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、加工和管理的系统化、网格化、集成化，提高企业生产效率、管理水平和产品竞争力，实现产业结构优化。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通过数字化技术赋能钢管产业，围绕降本增效、供需对接的要求，推动无缝钢管产业数字化进程。加快运用物联网、大数据、云计算、人工智能等信息网络技术，提高资源配置效率，促使无缝钢管的生产向更高生产率进行转变，对供应链不同环节、生产体系与组织方式、产业链条、企业与产业间合作等进行全方位赋能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（责任单位：经济发展部、商务和投资促进部）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聊城经济技术开发区管理委员会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2023年10月31日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MDNjN2NkZDEwYThkYzNlOTgyOWZlNGRkYWZkMDEifQ=="/>
  </w:docVars>
  <w:rsids>
    <w:rsidRoot w:val="00000000"/>
    <w:rsid w:val="08B374B6"/>
    <w:rsid w:val="0BF560C2"/>
    <w:rsid w:val="0E7FA09C"/>
    <w:rsid w:val="13DB7CFA"/>
    <w:rsid w:val="14B863F8"/>
    <w:rsid w:val="172C5003"/>
    <w:rsid w:val="18D2471B"/>
    <w:rsid w:val="1B5B57EC"/>
    <w:rsid w:val="1F7F935C"/>
    <w:rsid w:val="1F8E1865"/>
    <w:rsid w:val="1FEDAA65"/>
    <w:rsid w:val="1FF36D0F"/>
    <w:rsid w:val="2040567B"/>
    <w:rsid w:val="216655B5"/>
    <w:rsid w:val="237F6A7A"/>
    <w:rsid w:val="27F9EFB5"/>
    <w:rsid w:val="2D7FB964"/>
    <w:rsid w:val="2FBB8663"/>
    <w:rsid w:val="2FE74A1B"/>
    <w:rsid w:val="2FEBADD1"/>
    <w:rsid w:val="2FF30AE3"/>
    <w:rsid w:val="32683273"/>
    <w:rsid w:val="33DF5E77"/>
    <w:rsid w:val="35F20B8E"/>
    <w:rsid w:val="35FF03D3"/>
    <w:rsid w:val="36F8FC71"/>
    <w:rsid w:val="375F5ACE"/>
    <w:rsid w:val="39EDE922"/>
    <w:rsid w:val="3AEF5B8A"/>
    <w:rsid w:val="3CEE7490"/>
    <w:rsid w:val="3D4FD102"/>
    <w:rsid w:val="3EAB0813"/>
    <w:rsid w:val="3EF36F37"/>
    <w:rsid w:val="3EF714DA"/>
    <w:rsid w:val="3EFD7067"/>
    <w:rsid w:val="3EFD9704"/>
    <w:rsid w:val="3F27A5E8"/>
    <w:rsid w:val="3F9A71B1"/>
    <w:rsid w:val="3F9B0943"/>
    <w:rsid w:val="3F9D4E90"/>
    <w:rsid w:val="3FFFE314"/>
    <w:rsid w:val="40851CA0"/>
    <w:rsid w:val="45801494"/>
    <w:rsid w:val="45BFEEB0"/>
    <w:rsid w:val="4BDC2DFA"/>
    <w:rsid w:val="4DCD10CD"/>
    <w:rsid w:val="4E5D0C1C"/>
    <w:rsid w:val="4EF7E2A8"/>
    <w:rsid w:val="4FBAB377"/>
    <w:rsid w:val="4FDFDEDC"/>
    <w:rsid w:val="4FF7E8E8"/>
    <w:rsid w:val="536DF5E1"/>
    <w:rsid w:val="56B26484"/>
    <w:rsid w:val="575F4BE1"/>
    <w:rsid w:val="57DCE1B5"/>
    <w:rsid w:val="57EB42DF"/>
    <w:rsid w:val="57EFF7A6"/>
    <w:rsid w:val="58C12064"/>
    <w:rsid w:val="59ACB627"/>
    <w:rsid w:val="5A7BD6AB"/>
    <w:rsid w:val="5B3DDE08"/>
    <w:rsid w:val="5BEBC913"/>
    <w:rsid w:val="5BFCCA22"/>
    <w:rsid w:val="5C5BD52B"/>
    <w:rsid w:val="5D7F30B4"/>
    <w:rsid w:val="5D85219A"/>
    <w:rsid w:val="5DEF2CBB"/>
    <w:rsid w:val="5DF231DD"/>
    <w:rsid w:val="5DFD911C"/>
    <w:rsid w:val="5E7F1102"/>
    <w:rsid w:val="5F8F5F7D"/>
    <w:rsid w:val="5FBE540F"/>
    <w:rsid w:val="5FDC1C89"/>
    <w:rsid w:val="5FEEBC92"/>
    <w:rsid w:val="5FF7D9B3"/>
    <w:rsid w:val="5FFF7817"/>
    <w:rsid w:val="60FAAE3A"/>
    <w:rsid w:val="6577CDA3"/>
    <w:rsid w:val="68FF786E"/>
    <w:rsid w:val="6B31D854"/>
    <w:rsid w:val="6B9F15D4"/>
    <w:rsid w:val="6CB7CDF4"/>
    <w:rsid w:val="6ECE417C"/>
    <w:rsid w:val="6FCF9D7D"/>
    <w:rsid w:val="6FEDBDDF"/>
    <w:rsid w:val="6FF7FDE0"/>
    <w:rsid w:val="6FFE490C"/>
    <w:rsid w:val="6FFF14F1"/>
    <w:rsid w:val="70E6198B"/>
    <w:rsid w:val="75B75CDE"/>
    <w:rsid w:val="75FF5950"/>
    <w:rsid w:val="763D84F5"/>
    <w:rsid w:val="76AE0656"/>
    <w:rsid w:val="76EBBBD1"/>
    <w:rsid w:val="776B3B0D"/>
    <w:rsid w:val="777F170E"/>
    <w:rsid w:val="777FADDF"/>
    <w:rsid w:val="77DB821B"/>
    <w:rsid w:val="77DF0E6F"/>
    <w:rsid w:val="77FF5E42"/>
    <w:rsid w:val="78DFFCB1"/>
    <w:rsid w:val="795EC2A2"/>
    <w:rsid w:val="79DF7B19"/>
    <w:rsid w:val="79E81F1F"/>
    <w:rsid w:val="7A3F2F37"/>
    <w:rsid w:val="7AFBBF55"/>
    <w:rsid w:val="7B2F7DC2"/>
    <w:rsid w:val="7B7F00AE"/>
    <w:rsid w:val="7BDF0491"/>
    <w:rsid w:val="7CD89EA4"/>
    <w:rsid w:val="7DDD05F8"/>
    <w:rsid w:val="7DEF1107"/>
    <w:rsid w:val="7EBF98C9"/>
    <w:rsid w:val="7EC7213A"/>
    <w:rsid w:val="7EDFACA6"/>
    <w:rsid w:val="7EF36AAE"/>
    <w:rsid w:val="7EFA578F"/>
    <w:rsid w:val="7EFE3DEB"/>
    <w:rsid w:val="7EFF70AB"/>
    <w:rsid w:val="7F27E701"/>
    <w:rsid w:val="7F3EBD14"/>
    <w:rsid w:val="7F731DB3"/>
    <w:rsid w:val="7F740FB9"/>
    <w:rsid w:val="7F7AE994"/>
    <w:rsid w:val="7FB7D315"/>
    <w:rsid w:val="7FCE0F62"/>
    <w:rsid w:val="7FDFF6A1"/>
    <w:rsid w:val="7FE92D9B"/>
    <w:rsid w:val="7FEED12C"/>
    <w:rsid w:val="7FF73C7C"/>
    <w:rsid w:val="7FF76BDF"/>
    <w:rsid w:val="7FF78240"/>
    <w:rsid w:val="7FF7E089"/>
    <w:rsid w:val="7FFA5BAA"/>
    <w:rsid w:val="7FFEBE65"/>
    <w:rsid w:val="7FFFB48A"/>
    <w:rsid w:val="86F7EFE3"/>
    <w:rsid w:val="87FF967D"/>
    <w:rsid w:val="973FF126"/>
    <w:rsid w:val="97DF33AD"/>
    <w:rsid w:val="9AEBE597"/>
    <w:rsid w:val="9CAF829B"/>
    <w:rsid w:val="9CDB3D86"/>
    <w:rsid w:val="9CE7FE98"/>
    <w:rsid w:val="9DF1127B"/>
    <w:rsid w:val="9E3D0AFD"/>
    <w:rsid w:val="9EF7D91D"/>
    <w:rsid w:val="9F7F679B"/>
    <w:rsid w:val="A1ABAC31"/>
    <w:rsid w:val="A3ED5AC2"/>
    <w:rsid w:val="A6EFF16C"/>
    <w:rsid w:val="A76F3256"/>
    <w:rsid w:val="AA9EA944"/>
    <w:rsid w:val="AD4F5D0D"/>
    <w:rsid w:val="AE7518A5"/>
    <w:rsid w:val="AE75BE68"/>
    <w:rsid w:val="AF773A67"/>
    <w:rsid w:val="B0DEDA07"/>
    <w:rsid w:val="B43FB127"/>
    <w:rsid w:val="B731F88F"/>
    <w:rsid w:val="B7D93728"/>
    <w:rsid w:val="BAF6C6C2"/>
    <w:rsid w:val="BAFEAE0F"/>
    <w:rsid w:val="BBCFE5E0"/>
    <w:rsid w:val="BBFD2036"/>
    <w:rsid w:val="BBFFF72A"/>
    <w:rsid w:val="BD3BC42B"/>
    <w:rsid w:val="BD9F1E4C"/>
    <w:rsid w:val="BEEDE98C"/>
    <w:rsid w:val="BF177539"/>
    <w:rsid w:val="BF3F119B"/>
    <w:rsid w:val="BF73937A"/>
    <w:rsid w:val="BF7DB383"/>
    <w:rsid w:val="BF7F4897"/>
    <w:rsid w:val="BF7FBB57"/>
    <w:rsid w:val="BFA6B36A"/>
    <w:rsid w:val="BFAB2CC2"/>
    <w:rsid w:val="BFAF3052"/>
    <w:rsid w:val="BFBF9521"/>
    <w:rsid w:val="BFDD69CE"/>
    <w:rsid w:val="BFDF9135"/>
    <w:rsid w:val="BFDFEE82"/>
    <w:rsid w:val="BFFBF27B"/>
    <w:rsid w:val="BFFE5342"/>
    <w:rsid w:val="BFFE73F4"/>
    <w:rsid w:val="BFFFDABE"/>
    <w:rsid w:val="C7F7BACE"/>
    <w:rsid w:val="CBAFF5EA"/>
    <w:rsid w:val="CE34A463"/>
    <w:rsid w:val="CFBF3A31"/>
    <w:rsid w:val="D3BB0ADA"/>
    <w:rsid w:val="D3E4CA13"/>
    <w:rsid w:val="D59F988F"/>
    <w:rsid w:val="D5DB9FC2"/>
    <w:rsid w:val="DDCF8DDA"/>
    <w:rsid w:val="DEE70D45"/>
    <w:rsid w:val="DEFB574E"/>
    <w:rsid w:val="DF71098C"/>
    <w:rsid w:val="DF7528DC"/>
    <w:rsid w:val="DF76C27A"/>
    <w:rsid w:val="DF7E2835"/>
    <w:rsid w:val="DFCE0685"/>
    <w:rsid w:val="DFEBFD0B"/>
    <w:rsid w:val="DFFF482C"/>
    <w:rsid w:val="DFFF7D3A"/>
    <w:rsid w:val="E26FE29D"/>
    <w:rsid w:val="E3FF7C71"/>
    <w:rsid w:val="E5FF7035"/>
    <w:rsid w:val="EADA62C8"/>
    <w:rsid w:val="EBCD979E"/>
    <w:rsid w:val="EBEF7999"/>
    <w:rsid w:val="ECDA0021"/>
    <w:rsid w:val="ECFFBD71"/>
    <w:rsid w:val="ED7D92D6"/>
    <w:rsid w:val="EDFACBBC"/>
    <w:rsid w:val="EE05C936"/>
    <w:rsid w:val="EEAD6D20"/>
    <w:rsid w:val="EEF7C53F"/>
    <w:rsid w:val="EEFF15C8"/>
    <w:rsid w:val="EF6A8007"/>
    <w:rsid w:val="EF7FA4F2"/>
    <w:rsid w:val="EFEB8F03"/>
    <w:rsid w:val="EFFA4AB4"/>
    <w:rsid w:val="F07D98D4"/>
    <w:rsid w:val="F5414C54"/>
    <w:rsid w:val="F636A142"/>
    <w:rsid w:val="F76BDAC6"/>
    <w:rsid w:val="F77EC6A9"/>
    <w:rsid w:val="F7A28F5A"/>
    <w:rsid w:val="F7B538D6"/>
    <w:rsid w:val="F7BE69AC"/>
    <w:rsid w:val="F7DD3299"/>
    <w:rsid w:val="F7E658EC"/>
    <w:rsid w:val="F7E75CE7"/>
    <w:rsid w:val="F7F38455"/>
    <w:rsid w:val="F7FA40D5"/>
    <w:rsid w:val="F7FB312A"/>
    <w:rsid w:val="F7FB7CCD"/>
    <w:rsid w:val="F8DF779A"/>
    <w:rsid w:val="F95C85C2"/>
    <w:rsid w:val="F9BBD2B7"/>
    <w:rsid w:val="F9FFC6AF"/>
    <w:rsid w:val="FADFE1D7"/>
    <w:rsid w:val="FAF6DFBD"/>
    <w:rsid w:val="FBAF5E2A"/>
    <w:rsid w:val="FBBB9D03"/>
    <w:rsid w:val="FBED48C0"/>
    <w:rsid w:val="FBEF55F0"/>
    <w:rsid w:val="FBF617D9"/>
    <w:rsid w:val="FBF812B8"/>
    <w:rsid w:val="FC7F52B5"/>
    <w:rsid w:val="FCF7DFEC"/>
    <w:rsid w:val="FD257D41"/>
    <w:rsid w:val="FD3F98BD"/>
    <w:rsid w:val="FDF5C8DA"/>
    <w:rsid w:val="FDF71F26"/>
    <w:rsid w:val="FDFD1F5C"/>
    <w:rsid w:val="FDFE5BDA"/>
    <w:rsid w:val="FDFFE98E"/>
    <w:rsid w:val="FE7F9510"/>
    <w:rsid w:val="FEDFDA26"/>
    <w:rsid w:val="FEE766E2"/>
    <w:rsid w:val="FEEDADB0"/>
    <w:rsid w:val="FEEF5048"/>
    <w:rsid w:val="FEFE31B1"/>
    <w:rsid w:val="FEFF4873"/>
    <w:rsid w:val="FEFFA27B"/>
    <w:rsid w:val="FF1759FF"/>
    <w:rsid w:val="FF35DC04"/>
    <w:rsid w:val="FF6482EB"/>
    <w:rsid w:val="FFAF4CF1"/>
    <w:rsid w:val="FFB7A7FC"/>
    <w:rsid w:val="FFBE8155"/>
    <w:rsid w:val="FFBEC06E"/>
    <w:rsid w:val="FFBFBB1C"/>
    <w:rsid w:val="FFC36693"/>
    <w:rsid w:val="FFE1BC27"/>
    <w:rsid w:val="FFE7CE84"/>
    <w:rsid w:val="FFEF05C5"/>
    <w:rsid w:val="FFFDBC63"/>
    <w:rsid w:val="FFFEBE16"/>
    <w:rsid w:val="FFFFB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9"/>
    <w:pPr>
      <w:ind w:firstLine="562"/>
      <w:outlineLvl w:val="1"/>
    </w:pPr>
    <w:rPr>
      <w:rFonts w:ascii="楷体" w:hAnsi="楷体" w:eastAsia="楷体"/>
      <w:b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kern w:val="2"/>
      <w:sz w:val="24"/>
      <w:szCs w:val="2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Body Text First Indent 2"/>
    <w:basedOn w:val="7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7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8">
    <w:name w:val="Plain Text"/>
    <w:basedOn w:val="1"/>
    <w:qFormat/>
    <w:uiPriority w:val="0"/>
    <w:rPr>
      <w:rFonts w:hint="eastAsia" w:ascii="宋体" w:hAnsi="Courier New" w:eastAsia="宋体" w:cs="Times New Roman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2014-11-06T20:08:00Z</dcterms:created>
  <dc:creator>Administrator</dc:creator>
  <cp:lastModifiedBy>吴家祺</cp:lastModifiedBy>
  <cp:lastPrinted>2023-09-16T14:40:00Z</cp:lastPrinted>
  <dcterms:modified xsi:type="dcterms:W3CDTF">2023-11-16T03:19:34Z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EC46F6FDBB1F4B1DBB561D64880998B8_13</vt:lpwstr>
  </property>
</Properties>
</file>