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2560" w:firstLineChars="800"/>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2560" w:firstLineChars="800"/>
        <w:jc w:val="lef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ind w:firstLine="2560" w:firstLineChars="800"/>
        <w:jc w:val="lef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ind w:firstLine="2560" w:firstLineChars="800"/>
        <w:jc w:val="lef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ind w:firstLine="2560" w:firstLineChars="800"/>
        <w:jc w:val="lef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ind w:firstLine="2560" w:firstLineChars="800"/>
        <w:jc w:val="lef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ind w:firstLine="2560" w:firstLineChars="800"/>
        <w:jc w:val="left"/>
        <w:textAlignment w:val="auto"/>
        <w:rPr>
          <w:rFonts w:hint="eastAsia" w:ascii="仿宋_GB2312" w:hAnsi="仿宋_GB2312" w:eastAsia="仿宋_GB2312" w:cs="仿宋_GB2312"/>
          <w:sz w:val="32"/>
          <w:szCs w:val="32"/>
          <w:lang w:val="en-US" w:eastAsia="zh-CN"/>
        </w:rPr>
      </w:pPr>
      <w:bookmarkStart w:id="0" w:name="_GoBack"/>
      <w:bookmarkEnd w:id="0"/>
      <w:r>
        <w:rPr>
          <w:rFonts w:hint="eastAsia" w:ascii="仿宋_GB2312" w:hAnsi="仿宋_GB2312" w:eastAsia="仿宋_GB2312" w:cs="仿宋_GB2312"/>
          <w:sz w:val="32"/>
          <w:szCs w:val="32"/>
          <w:lang w:eastAsia="zh-CN"/>
        </w:rPr>
        <w:t>聊开管办发</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2023</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18</w:t>
      </w:r>
      <w:r>
        <w:rPr>
          <w:rFonts w:hint="eastAsia" w:ascii="仿宋_GB2312" w:hAnsi="仿宋_GB2312" w:eastAsia="仿宋_GB2312" w:cs="仿宋_GB2312"/>
          <w:sz w:val="32"/>
          <w:szCs w:val="32"/>
          <w:lang w:val="en-US" w:eastAsia="zh-CN"/>
        </w:rPr>
        <w:t>号</w:t>
      </w:r>
    </w:p>
    <w:p>
      <w:pPr>
        <w:keepNext w:val="0"/>
        <w:keepLines w:val="0"/>
        <w:pageBreakBefore w:val="0"/>
        <w:widowControl w:val="0"/>
        <w:kinsoku/>
        <w:wordWrap/>
        <w:overflowPunct/>
        <w:topLinePunct w:val="0"/>
        <w:autoSpaceDE/>
        <w:autoSpaceDN/>
        <w:bidi w:val="0"/>
        <w:adjustRightInd/>
        <w:snapToGrid/>
        <w:ind w:firstLine="2560" w:firstLineChars="800"/>
        <w:jc w:val="left"/>
        <w:textAlignment w:val="auto"/>
        <w:rPr>
          <w:rFonts w:hint="eastAsia" w:ascii="仿宋" w:hAnsi="仿宋" w:eastAsia="仿宋" w:cs="仿宋"/>
          <w:sz w:val="32"/>
          <w:szCs w:val="32"/>
          <w:lang w:eastAsia="zh-CN"/>
        </w:rPr>
      </w:pPr>
      <w:r>
        <w:rPr>
          <w:rFonts w:hint="eastAsia" w:ascii="仿宋_GB2312" w:eastAsia="仿宋_GB2312"/>
          <w:sz w:val="32"/>
          <w:szCs w:val="32"/>
        </w:rPr>
        <mc:AlternateContent>
          <mc:Choice Requires="wps">
            <w:drawing>
              <wp:anchor distT="0" distB="0" distL="114300" distR="114300" simplePos="0" relativeHeight="251706368" behindDoc="0" locked="0" layoutInCell="1" allowOverlap="1">
                <wp:simplePos x="0" y="0"/>
                <wp:positionH relativeFrom="column">
                  <wp:posOffset>2518410</wp:posOffset>
                </wp:positionH>
                <wp:positionV relativeFrom="paragraph">
                  <wp:posOffset>13335</wp:posOffset>
                </wp:positionV>
                <wp:extent cx="571500" cy="396240"/>
                <wp:effectExtent l="0" t="0" r="0" b="3810"/>
                <wp:wrapNone/>
                <wp:docPr id="169" name="文本框 169"/>
                <wp:cNvGraphicFramePr/>
                <a:graphic xmlns:a="http://schemas.openxmlformats.org/drawingml/2006/main">
                  <a:graphicData uri="http://schemas.microsoft.com/office/word/2010/wordprocessingShape">
                    <wps:wsp>
                      <wps:cNvSpPr txBox="1"/>
                      <wps:spPr>
                        <a:xfrm>
                          <a:off x="0" y="0"/>
                          <a:ext cx="571500" cy="396240"/>
                        </a:xfrm>
                        <a:prstGeom prst="rect">
                          <a:avLst/>
                        </a:prstGeom>
                        <a:solidFill>
                          <a:srgbClr val="FFFFFF"/>
                        </a:solidFill>
                        <a:ln>
                          <a:noFill/>
                        </a:ln>
                      </wps:spPr>
                      <wps:txbx>
                        <w:txbxContent>
                          <w:p/>
                        </w:txbxContent>
                      </wps:txbx>
                      <wps:bodyPr vert="eaVert" upright="1"/>
                    </wps:wsp>
                  </a:graphicData>
                </a:graphic>
              </wp:anchor>
            </w:drawing>
          </mc:Choice>
          <mc:Fallback>
            <w:pict>
              <v:shape id="_x0000_s1026" o:spid="_x0000_s1026" o:spt="202" type="#_x0000_t202" style="position:absolute;left:0pt;margin-left:198.3pt;margin-top:1.05pt;height:31.2pt;width:45pt;z-index:251706368;mso-width-relative:page;mso-height-relative:page;" fillcolor="#FFFFFF" filled="t" stroked="f" coordsize="21600,21600" o:gfxdata="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&#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Pro0cvYAAAACAEAAA8AAAAAAAAAAQAgAAAAIgAAAGRy&#10;cy9kb3ducmV2LnhtbFBLAQIUABQAAAAIAIdO4kCXKf8BzAEAAIgDAAAOAAAAAAAAAAEAIAAAACcB&#10;AABkcnMvZTJvRG9jLnhtbFBLBQYAAAAABgAGAFkBAABlBQAAAAA=&#10;">
                <v:fill on="t" focussize="0,0"/>
                <v:stroke on="f"/>
                <v:imagedata o:title=""/>
                <o:lock v:ext="edit" aspectratio="f"/>
                <v:textbox style="layout-flow:vertical-ideographic;">
                  <w:txbxContent>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聊城经济技术开发区管理委员会办公室</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关于印发开发区食品安全事故等三个</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应急预案的通知</w:t>
      </w:r>
    </w:p>
    <w:p>
      <w:pPr>
        <w:keepNext w:val="0"/>
        <w:keepLines w:val="0"/>
        <w:pageBreakBefore w:val="0"/>
        <w:widowControl w:val="0"/>
        <w:kinsoku/>
        <w:wordWrap/>
        <w:overflowPunct/>
        <w:topLinePunct w:val="0"/>
        <w:autoSpaceDE/>
        <w:autoSpaceDN/>
        <w:bidi w:val="0"/>
        <w:adjustRightInd/>
        <w:snapToGrid/>
        <w:spacing w:line="576" w:lineRule="exact"/>
        <w:jc w:val="lef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76" w:lineRule="exact"/>
        <w:jc w:val="left"/>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各街道</w:t>
      </w:r>
      <w:r>
        <w:rPr>
          <w:rFonts w:hint="eastAsia" w:ascii="楷体_GB2312" w:hAnsi="楷体_GB2312" w:eastAsia="楷体_GB2312" w:cs="楷体_GB2312"/>
          <w:sz w:val="32"/>
          <w:szCs w:val="32"/>
          <w:lang w:val="en-US" w:eastAsia="zh-CN"/>
        </w:rPr>
        <w:t>办事处</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机关有关单位</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相关</w:t>
      </w:r>
      <w:r>
        <w:rPr>
          <w:rFonts w:hint="eastAsia" w:ascii="楷体_GB2312" w:hAnsi="楷体_GB2312" w:eastAsia="楷体_GB2312" w:cs="楷体_GB2312"/>
          <w:sz w:val="32"/>
          <w:szCs w:val="32"/>
          <w:lang w:eastAsia="zh-CN"/>
        </w:rPr>
        <w:t>分支机构：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现将《聊城经济技术开发区食品安全事故应急预案》《聊城经济技术开发区药品安全事件应急预案》《聊城经济技术开发区疫苗安全事件应急预案》印发给你们，请认真贯彻执行。</w:t>
      </w:r>
    </w:p>
    <w:p>
      <w:pPr>
        <w:keepNext w:val="0"/>
        <w:keepLines w:val="0"/>
        <w:pageBreakBefore w:val="0"/>
        <w:widowControl w:val="0"/>
        <w:kinsoku/>
        <w:wordWrap/>
        <w:overflowPunct/>
        <w:topLinePunct w:val="0"/>
        <w:autoSpaceDE/>
        <w:autoSpaceDN/>
        <w:bidi w:val="0"/>
        <w:adjustRightInd/>
        <w:snapToGrid/>
        <w:spacing w:line="576" w:lineRule="exact"/>
        <w:ind w:firstLine="2560" w:firstLineChars="800"/>
        <w:jc w:val="left"/>
        <w:textAlignment w:val="auto"/>
        <w:rPr>
          <w:rFonts w:hint="eastAsia" w:ascii="楷体_GB2312" w:hAnsi="楷体_GB2312" w:eastAsia="楷体_GB2312" w:cs="楷体_GB2312"/>
          <w:sz w:val="32"/>
          <w:szCs w:val="32"/>
          <w:lang w:eastAsia="zh-CN"/>
        </w:rPr>
      </w:pPr>
    </w:p>
    <w:p>
      <w:pPr>
        <w:pStyle w:val="2"/>
        <w:tabs>
          <w:tab w:val="left" w:pos="8062"/>
        </w:tabs>
        <w:rPr>
          <w:rFonts w:hint="eastAsia"/>
          <w:lang w:eastAsia="zh-CN"/>
        </w:rPr>
      </w:pPr>
      <w:r>
        <w:rPr>
          <w:rFonts w:hint="eastAsia"/>
          <w:lang w:eastAsia="zh-CN"/>
        </w:rPr>
        <w:tab/>
      </w:r>
    </w:p>
    <w:p>
      <w:pPr>
        <w:keepNext w:val="0"/>
        <w:keepLines w:val="0"/>
        <w:pageBreakBefore w:val="0"/>
        <w:widowControl w:val="0"/>
        <w:kinsoku/>
        <w:wordWrap/>
        <w:overflowPunct/>
        <w:topLinePunct w:val="0"/>
        <w:autoSpaceDE/>
        <w:autoSpaceDN/>
        <w:bidi w:val="0"/>
        <w:adjustRightInd/>
        <w:snapToGrid/>
        <w:spacing w:line="576" w:lineRule="exact"/>
        <w:ind w:firstLine="3200" w:firstLineChars="1000"/>
        <w:jc w:val="left"/>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聊城经济技术开发区管理委员会办公室</w:t>
      </w:r>
    </w:p>
    <w:p>
      <w:pPr>
        <w:keepNext w:val="0"/>
        <w:keepLines w:val="0"/>
        <w:pageBreakBefore w:val="0"/>
        <w:widowControl w:val="0"/>
        <w:kinsoku/>
        <w:wordWrap/>
        <w:overflowPunct/>
        <w:topLinePunct w:val="0"/>
        <w:autoSpaceDE/>
        <w:autoSpaceDN/>
        <w:bidi w:val="0"/>
        <w:adjustRightInd/>
        <w:snapToGrid/>
        <w:spacing w:line="576" w:lineRule="exact"/>
        <w:ind w:firstLine="4480" w:firstLineChars="1400"/>
        <w:jc w:val="left"/>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2023年12月26日</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sz w:val="32"/>
          <w:szCs w:val="32"/>
          <w:lang w:val="en-US" w:eastAsia="zh-CN"/>
        </w:rPr>
        <w:t>（此件公开发布）</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聊城</w:t>
      </w:r>
      <w:r>
        <w:rPr>
          <w:rFonts w:hint="eastAsia" w:ascii="方正小标宋简体" w:hAnsi="方正小标宋简体" w:eastAsia="方正小标宋简体" w:cs="方正小标宋简体"/>
          <w:b w:val="0"/>
          <w:bCs w:val="0"/>
          <w:sz w:val="44"/>
          <w:szCs w:val="44"/>
          <w:lang w:eastAsia="zh-CN"/>
        </w:rPr>
        <w:t>经济技术开发区</w:t>
      </w:r>
      <w:r>
        <w:rPr>
          <w:rFonts w:hint="eastAsia" w:ascii="方正小标宋简体" w:hAnsi="方正小标宋简体" w:eastAsia="方正小标宋简体" w:cs="方正小标宋简体"/>
          <w:b w:val="0"/>
          <w:bCs w:val="0"/>
          <w:sz w:val="44"/>
          <w:szCs w:val="44"/>
        </w:rPr>
        <w:t>食品安全</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事故应急预案</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jc w:val="center"/>
        <w:textAlignment w:val="auto"/>
        <w:rPr>
          <w:rFonts w:hint="eastAsia" w:ascii="黑体" w:hAnsi="黑体" w:eastAsia="黑体" w:cs="黑体"/>
          <w:sz w:val="32"/>
          <w:szCs w:val="32"/>
        </w:rPr>
      </w:pPr>
      <w:r>
        <w:rPr>
          <w:rFonts w:hint="eastAsia" w:ascii="黑体" w:hAnsi="黑体" w:eastAsia="黑体" w:cs="黑体"/>
          <w:sz w:val="32"/>
          <w:szCs w:val="32"/>
        </w:rPr>
        <w:t xml:space="preserve">目 </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录</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40" w:lineRule="exact"/>
        <w:ind w:left="0" w:leftChars="0"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1.</w:t>
      </w:r>
      <w:r>
        <w:rPr>
          <w:rFonts w:hint="eastAsia" w:ascii="黑体" w:hAnsi="黑体" w:eastAsia="黑体" w:cs="黑体"/>
          <w:sz w:val="32"/>
          <w:szCs w:val="32"/>
        </w:rPr>
        <w:t>总则</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40" w:lineRule="exact"/>
        <w:ind w:left="0" w:leftChars="0" w:firstLine="1280" w:firstLineChars="4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.1编制目的</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firstLine="1280" w:firstLineChars="4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1.2编制依据</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firstLine="1280" w:firstLineChars="4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1.3事故分级</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firstLine="1280" w:firstLineChars="4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1.4适用范围</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firstLine="1280" w:firstLineChars="4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1.5</w:t>
      </w:r>
      <w:r>
        <w:rPr>
          <w:rFonts w:hint="eastAsia" w:ascii="仿宋_GB2312" w:hAnsi="仿宋_GB2312" w:eastAsia="仿宋_GB2312" w:cs="仿宋_GB2312"/>
          <w:sz w:val="32"/>
          <w:szCs w:val="32"/>
          <w:lang w:val="en-US" w:eastAsia="zh-CN"/>
        </w:rPr>
        <w:t>处置</w:t>
      </w:r>
      <w:r>
        <w:rPr>
          <w:rFonts w:hint="eastAsia" w:ascii="仿宋_GB2312" w:hAnsi="仿宋_GB2312" w:eastAsia="仿宋_GB2312" w:cs="仿宋_GB2312"/>
          <w:sz w:val="32"/>
          <w:szCs w:val="32"/>
        </w:rPr>
        <w:t>原则</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firstLine="1280" w:firstLineChars="4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1.6预案体系</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2.组织机构及职责</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firstLine="1280" w:firstLineChars="4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2.1应急机制启动</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firstLine="1280" w:firstLineChars="4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2.2指挥部设置</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firstLine="1280" w:firstLineChars="4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2.3指挥部职责</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firstLine="1280" w:firstLineChars="4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2.4指挥部办公室职责</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firstLine="1280" w:firstLineChars="4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2.5成员单位职责</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firstLine="1280" w:firstLineChars="4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2.6工作组设置及职责</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firstLine="1280" w:firstLineChars="4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2.7应急处置专业技术机构</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firstLine="1280" w:firstLineChars="4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2.8</w:t>
      </w:r>
      <w:r>
        <w:rPr>
          <w:rFonts w:hint="eastAsia" w:ascii="仿宋_GB2312" w:hAnsi="仿宋_GB2312" w:eastAsia="仿宋_GB2312" w:cs="仿宋_GB2312"/>
          <w:sz w:val="32"/>
          <w:szCs w:val="32"/>
          <w:lang w:val="en-US" w:eastAsia="zh-CN"/>
        </w:rPr>
        <w:t>乡</w:t>
      </w:r>
      <w:r>
        <w:rPr>
          <w:rFonts w:hint="eastAsia" w:ascii="仿宋_GB2312" w:hAnsi="仿宋_GB2312" w:eastAsia="仿宋_GB2312" w:cs="仿宋_GB2312"/>
          <w:sz w:val="32"/>
          <w:szCs w:val="32"/>
        </w:rPr>
        <w:t>级指挥部设置及职责</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40" w:lineRule="exact"/>
        <w:ind w:left="0" w:leftChars="0"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3.</w:t>
      </w:r>
      <w:r>
        <w:rPr>
          <w:rFonts w:hint="eastAsia" w:ascii="黑体" w:hAnsi="黑体" w:eastAsia="黑体" w:cs="黑体"/>
          <w:sz w:val="32"/>
          <w:szCs w:val="32"/>
        </w:rPr>
        <w:t>应急保障</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40" w:lineRule="exact"/>
        <w:ind w:left="0" w:leftChars="0" w:firstLine="1280" w:firstLineChars="4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3.1信息保障</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firstLine="1280" w:firstLineChars="4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3.2医疗保障</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firstLine="1280" w:firstLineChars="4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3.3人员和技术保障</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firstLine="1280" w:firstLineChars="4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3.4物资和经费保障</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firstLine="1280" w:firstLineChars="4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3.5社会动员保障</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firstLine="1280" w:firstLineChars="4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3.6宣教培训</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4.监测预警、报告与评估</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firstLine="1280" w:firstLineChars="4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4.1监测预警</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firstLine="1280" w:firstLineChars="4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4.2事故报告</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firstLine="1280" w:firstLineChars="4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4.3事故评估</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5.应急响应</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firstLine="1280" w:firstLineChars="4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5.1分级响应</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firstLine="1280" w:firstLineChars="4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5.2应急处置措施</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firstLine="1280" w:firstLineChars="4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5.3检测分析评估</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firstLine="1280" w:firstLineChars="4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5.4响应级别调整及终止</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firstLine="1280" w:firstLineChars="4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5.5信息发布</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40" w:lineRule="exact"/>
        <w:ind w:left="0" w:leftChars="0"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6.</w:t>
      </w:r>
      <w:r>
        <w:rPr>
          <w:rFonts w:hint="eastAsia" w:ascii="黑体" w:hAnsi="黑体" w:eastAsia="黑体" w:cs="黑体"/>
          <w:sz w:val="32"/>
          <w:szCs w:val="32"/>
        </w:rPr>
        <w:t>后期处置</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40" w:lineRule="exact"/>
        <w:ind w:left="0" w:leftChars="0" w:firstLine="1280" w:firstLineChars="4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6.1善后处置</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firstLine="1280" w:firstLineChars="4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6.2考核奖惩</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firstLine="1280" w:firstLineChars="4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6.3总结</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7.附则</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firstLine="1280" w:firstLineChars="4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7.1名词术语</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firstLine="1280" w:firstLineChars="4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7.2预案管理与更新</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firstLine="1280" w:firstLineChars="4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7.3演习演练</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firstLine="1280" w:firstLineChars="4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7.4预案实施</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1.总则</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1.1编制目的</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全面贯彻落实党的</w:t>
      </w:r>
      <w:r>
        <w:rPr>
          <w:rFonts w:hint="eastAsia" w:ascii="仿宋_GB2312" w:hAnsi="仿宋_GB2312" w:eastAsia="仿宋_GB2312" w:cs="仿宋_GB2312"/>
          <w:sz w:val="32"/>
          <w:szCs w:val="32"/>
          <w:lang w:eastAsia="zh-CN"/>
        </w:rPr>
        <w:t>二十</w:t>
      </w:r>
      <w:r>
        <w:rPr>
          <w:rFonts w:hint="eastAsia" w:ascii="仿宋_GB2312" w:hAnsi="仿宋_GB2312" w:eastAsia="仿宋_GB2312" w:cs="仿宋_GB2312"/>
          <w:sz w:val="32"/>
          <w:szCs w:val="32"/>
        </w:rPr>
        <w:t>大精神，坚持以习近平新时代中国特色社会主义思想为指导，大力实施食品安全战略，构建预防为主、风险管理、全程控制、社会共治的食品安全治理体系。建立健全应对食品安全事故的应急体系和运行机制，规范和指导应急处置工作，有效预防、积极应对和及时控制食品安全事故，高效组织应急处置工作，最大限度地减少食品安全事故危害，保障公众健康和生命安全，维护正常的社会经济秩序。</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1.2编制依据</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华人民共和国突发事件应对法》《中华人民共和国食品安全法》《中华人民共和国农产品质量安全法》《中华人民共和国食品安全法实施条例》《山东省食品安全事故应急预案》《聊城市突发事件总体应急预案》《市政府处置突发事件工作流程及规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聊城市食品安全事故应急预案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等，制定本预案。</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1.3事故分级</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按照食品安全事故的性质、危害程度和涉及范围，食品安全事故共分四级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分级及响应标准见附件1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，即特别重大食品安全事故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I级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、重大食品安全事故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Ⅱ级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、较大食品安全事故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Ⅲ级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和一般食品安全事故</w:t>
      </w:r>
      <w:r>
        <w:rPr>
          <w:rFonts w:hint="eastAsia" w:ascii="仿宋_GB2312" w:hAnsi="仿宋_GB2312" w:eastAsia="仿宋_GB2312" w:cs="仿宋_GB2312"/>
          <w:sz w:val="32"/>
          <w:szCs w:val="32"/>
          <w:lang w:eastAsia="zh-CN"/>
        </w:rPr>
        <w:t>（Ⅳ级）</w:t>
      </w:r>
      <w:r>
        <w:rPr>
          <w:rFonts w:hint="eastAsia" w:ascii="仿宋_GB2312" w:hAnsi="仿宋_GB2312" w:eastAsia="仿宋_GB2312" w:cs="仿宋_GB2312"/>
          <w:sz w:val="32"/>
          <w:szCs w:val="32"/>
        </w:rPr>
        <w:t>。事故等级的评估核定，由</w:t>
      </w:r>
      <w:r>
        <w:rPr>
          <w:rFonts w:hint="eastAsia" w:ascii="仿宋_GB2312" w:hAnsi="仿宋_GB2312" w:eastAsia="仿宋_GB2312" w:cs="仿宋_GB2312"/>
          <w:sz w:val="32"/>
          <w:szCs w:val="32"/>
          <w:lang w:eastAsia="zh-CN"/>
        </w:rPr>
        <w:t>聊城经济技术开发区市场监督管理部（区</w:t>
      </w:r>
      <w:r>
        <w:rPr>
          <w:rFonts w:hint="eastAsia" w:ascii="仿宋_GB2312" w:hAnsi="仿宋_GB2312" w:eastAsia="仿宋_GB2312" w:cs="仿宋_GB2312"/>
          <w:sz w:val="32"/>
          <w:szCs w:val="32"/>
        </w:rPr>
        <w:t>食</w:t>
      </w:r>
      <w:r>
        <w:rPr>
          <w:rFonts w:hint="eastAsia" w:ascii="仿宋_GB2312" w:hAnsi="仿宋_GB2312" w:eastAsia="仿宋_GB2312" w:cs="仿宋_GB2312"/>
          <w:sz w:val="32"/>
          <w:szCs w:val="32"/>
          <w:lang w:eastAsia="zh-CN"/>
        </w:rPr>
        <w:t>药</w:t>
      </w:r>
      <w:r>
        <w:rPr>
          <w:rFonts w:hint="eastAsia" w:ascii="仿宋_GB2312" w:hAnsi="仿宋_GB2312" w:eastAsia="仿宋_GB2312" w:cs="仿宋_GB2312"/>
          <w:sz w:val="32"/>
          <w:szCs w:val="32"/>
        </w:rPr>
        <w:t>安办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会同有关部门</w:t>
      </w:r>
      <w:r>
        <w:rPr>
          <w:rFonts w:hint="eastAsia" w:ascii="仿宋_GB2312" w:hAnsi="仿宋_GB2312" w:eastAsia="仿宋_GB2312" w:cs="仿宋_GB2312"/>
          <w:sz w:val="32"/>
          <w:szCs w:val="32"/>
          <w:lang w:eastAsia="zh-CN"/>
        </w:rPr>
        <w:t>依照</w:t>
      </w:r>
      <w:r>
        <w:rPr>
          <w:rFonts w:hint="eastAsia" w:ascii="仿宋_GB2312" w:hAnsi="仿宋_GB2312" w:eastAsia="仿宋_GB2312" w:cs="仿宋_GB2312"/>
          <w:sz w:val="32"/>
          <w:szCs w:val="32"/>
        </w:rPr>
        <w:t>有关规定</w:t>
      </w:r>
      <w:r>
        <w:rPr>
          <w:rFonts w:hint="eastAsia" w:ascii="仿宋_GB2312" w:hAnsi="仿宋_GB2312" w:eastAsia="仿宋_GB2312" w:cs="仿宋_GB2312"/>
          <w:sz w:val="32"/>
          <w:szCs w:val="32"/>
          <w:lang w:eastAsia="zh-CN"/>
        </w:rPr>
        <w:t>进行。</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1.4适用范围</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本预案适用于</w:t>
      </w:r>
      <w:r>
        <w:rPr>
          <w:rFonts w:hint="eastAsia" w:ascii="仿宋_GB2312" w:hAnsi="仿宋_GB2312" w:eastAsia="仿宋_GB2312" w:cs="仿宋_GB2312"/>
          <w:sz w:val="32"/>
          <w:szCs w:val="32"/>
          <w:lang w:eastAsia="zh-CN"/>
        </w:rPr>
        <w:t>聊城经济技术开发区</w:t>
      </w:r>
      <w:r>
        <w:rPr>
          <w:rFonts w:hint="eastAsia" w:ascii="仿宋_GB2312" w:hAnsi="仿宋_GB2312" w:eastAsia="仿宋_GB2312" w:cs="仿宋_GB2312"/>
          <w:sz w:val="32"/>
          <w:szCs w:val="32"/>
        </w:rPr>
        <w:t>行政区域内食用农产品、种植养殖以及食品生产加工、包装、仓储、运输、流通和餐饮服务等环节发生的</w:t>
      </w:r>
      <w:r>
        <w:rPr>
          <w:rFonts w:hint="eastAsia" w:ascii="仿宋_GB2312" w:hAnsi="仿宋_GB2312" w:eastAsia="仿宋_GB2312" w:cs="仿宋_GB2312"/>
          <w:sz w:val="32"/>
          <w:szCs w:val="32"/>
          <w:lang w:eastAsia="zh-CN"/>
        </w:rPr>
        <w:t>Ⅳ级</w:t>
      </w:r>
      <w:r>
        <w:rPr>
          <w:rFonts w:hint="eastAsia" w:ascii="仿宋_GB2312" w:hAnsi="仿宋_GB2312" w:eastAsia="仿宋_GB2312" w:cs="仿宋_GB2312"/>
          <w:sz w:val="32"/>
          <w:szCs w:val="32"/>
        </w:rPr>
        <w:t>以上食品安全事故的应对工作。指导全</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食品安全事故应对工作。</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1.5处置原则</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以人为本，减少危害。把保障公众健康和生命安全作为应急处置的首要任务，最大限度地减少食品安全事故造成的人员伤亡和健康损害</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统一领导，分级负责。按照“统一领导、综合协调、分类管理、分级负责、属地管理为主”的应急管理体制，建立健全运转协调、权威高效的食品安全事故应对体系。整合行政执法力量及技术信息等资源，集中高效地处置食品安全突发事件。</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科学评估，依法处置。优化和整合食品安全监测检验资源，有效使用食品安全风险监测、评估和预警等科学手段。充分发挥专业队伍的作用，依法处置和快速应对食品安全事故，推动食品安全事故处置应对工作</w:t>
      </w:r>
      <w:r>
        <w:rPr>
          <w:rFonts w:hint="eastAsia" w:ascii="仿宋_GB2312" w:hAnsi="仿宋_GB2312" w:eastAsia="仿宋_GB2312" w:cs="仿宋_GB2312"/>
          <w:sz w:val="32"/>
          <w:szCs w:val="32"/>
          <w:lang w:eastAsia="zh-CN"/>
        </w:rPr>
        <w:t>法治化</w:t>
      </w:r>
      <w:r>
        <w:rPr>
          <w:rFonts w:hint="eastAsia" w:ascii="仿宋_GB2312" w:hAnsi="仿宋_GB2312" w:eastAsia="仿宋_GB2312" w:cs="仿宋_GB2312"/>
          <w:sz w:val="32"/>
          <w:szCs w:val="32"/>
        </w:rPr>
        <w:t>、制度化、规范化和科学化。</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快速反应，协同应对。加强以属地管理为主的应急处置队伍建设，健全协调联动机制，做好</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办事处二</w:t>
      </w:r>
      <w:r>
        <w:rPr>
          <w:rFonts w:hint="eastAsia" w:ascii="仿宋_GB2312" w:hAnsi="仿宋_GB2312" w:eastAsia="仿宋_GB2312" w:cs="仿宋_GB2312"/>
          <w:sz w:val="32"/>
          <w:szCs w:val="32"/>
        </w:rPr>
        <w:t>级预案衔接，充分动员和依靠公众力量，发挥</w:t>
      </w:r>
      <w:r>
        <w:rPr>
          <w:rFonts w:hint="eastAsia" w:ascii="仿宋_GB2312" w:hAnsi="仿宋_GB2312" w:eastAsia="仿宋_GB2312" w:cs="仿宋_GB2312"/>
          <w:sz w:val="32"/>
          <w:szCs w:val="32"/>
          <w:lang w:eastAsia="zh-CN"/>
        </w:rPr>
        <w:t>办事处</w:t>
      </w:r>
      <w:r>
        <w:rPr>
          <w:rFonts w:hint="eastAsia" w:ascii="仿宋_GB2312" w:hAnsi="仿宋_GB2312" w:eastAsia="仿宋_GB2312" w:cs="仿宋_GB2312"/>
          <w:sz w:val="32"/>
          <w:szCs w:val="32"/>
        </w:rPr>
        <w:t>、社区、企事业单位、社会团体和应急志愿者队伍的作用，形成统一指挥、反应灵敏、协调有序、运转高效的应急管理机制</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居安思危，预防为主。坚持预防与应急相结合，常态与非常态相结合，做好应急准备，落实各项防范措施，防患于未然。建立健全日常管理制度和信息报告制度，加强食品安全风险监测、评估和预警，实现食品安全信息的互联互通和共享</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加强宣教培训，提高公众自我防范和应对</w:t>
      </w:r>
      <w:r>
        <w:rPr>
          <w:rFonts w:hint="eastAsia" w:ascii="仿宋_GB2312" w:hAnsi="仿宋_GB2312" w:eastAsia="仿宋_GB2312" w:cs="仿宋_GB2312"/>
          <w:sz w:val="32"/>
          <w:szCs w:val="32"/>
          <w:lang w:eastAsia="zh-CN"/>
        </w:rPr>
        <w:t>食品</w:t>
      </w:r>
      <w:r>
        <w:rPr>
          <w:rFonts w:hint="eastAsia" w:ascii="仿宋_GB2312" w:hAnsi="仿宋_GB2312" w:eastAsia="仿宋_GB2312" w:cs="仿宋_GB2312"/>
          <w:sz w:val="32"/>
          <w:szCs w:val="32"/>
        </w:rPr>
        <w:t>安全事故的意识和能力。做好应急演练，实现食品安全事故早发现、早报告、早控制、早解决。</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1.6预案体系</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食品安全应急预案体系分区和街道</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级管理，由本预案、相关部门食品安全事故应急预案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街道食品安全事故应急预案</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食品生产经营单位应急预案组成。</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2.组织机构及职责</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2.1应急机制启动</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食品安全事故发生后，</w:t>
      </w:r>
      <w:r>
        <w:rPr>
          <w:rFonts w:hint="eastAsia" w:ascii="仿宋_GB2312" w:hAnsi="仿宋_GB2312" w:eastAsia="仿宋_GB2312" w:cs="仿宋_GB2312"/>
          <w:sz w:val="32"/>
          <w:szCs w:val="32"/>
          <w:lang w:eastAsia="zh-CN"/>
        </w:rPr>
        <w:t>聊城经济技术开发区市场监督管理部（区</w:t>
      </w:r>
      <w:r>
        <w:rPr>
          <w:rFonts w:hint="eastAsia" w:ascii="仿宋_GB2312" w:hAnsi="仿宋_GB2312" w:eastAsia="仿宋_GB2312" w:cs="仿宋_GB2312"/>
          <w:sz w:val="32"/>
          <w:szCs w:val="32"/>
        </w:rPr>
        <w:t>食</w:t>
      </w:r>
      <w:r>
        <w:rPr>
          <w:rFonts w:hint="eastAsia" w:ascii="仿宋_GB2312" w:hAnsi="仿宋_GB2312" w:eastAsia="仿宋_GB2312" w:cs="仿宋_GB2312"/>
          <w:sz w:val="32"/>
          <w:szCs w:val="32"/>
          <w:lang w:eastAsia="zh-CN"/>
        </w:rPr>
        <w:t>药</w:t>
      </w:r>
      <w:r>
        <w:rPr>
          <w:rFonts w:hint="eastAsia" w:ascii="仿宋_GB2312" w:hAnsi="仿宋_GB2312" w:eastAsia="仿宋_GB2312" w:cs="仿宋_GB2312"/>
          <w:sz w:val="32"/>
          <w:szCs w:val="32"/>
        </w:rPr>
        <w:t>安办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会同有关部门依法组织对事故进行分析评估，核定事故级别。达到</w:t>
      </w:r>
      <w:r>
        <w:rPr>
          <w:rFonts w:hint="eastAsia" w:ascii="仿宋_GB2312" w:hAnsi="仿宋_GB2312" w:eastAsia="仿宋_GB2312" w:cs="仿宋_GB2312"/>
          <w:sz w:val="32"/>
          <w:szCs w:val="32"/>
          <w:lang w:eastAsia="zh-CN"/>
        </w:rPr>
        <w:t>Ⅳ级</w:t>
      </w:r>
      <w:r>
        <w:rPr>
          <w:rFonts w:hint="eastAsia" w:ascii="仿宋_GB2312" w:hAnsi="仿宋_GB2312" w:eastAsia="仿宋_GB2312" w:cs="仿宋_GB2312"/>
          <w:sz w:val="32"/>
          <w:szCs w:val="32"/>
        </w:rPr>
        <w:t>以上食品安全事故标准，需</w:t>
      </w:r>
      <w:r>
        <w:rPr>
          <w:rFonts w:hint="eastAsia" w:ascii="仿宋_GB2312" w:hAnsi="仿宋_GB2312" w:eastAsia="仿宋_GB2312" w:cs="仿宋_GB2312"/>
          <w:sz w:val="32"/>
          <w:szCs w:val="32"/>
          <w:lang w:eastAsia="zh-CN"/>
        </w:rPr>
        <w:t>聊城经济技术开发区管委会</w:t>
      </w:r>
      <w:r>
        <w:rPr>
          <w:rFonts w:hint="eastAsia" w:ascii="仿宋_GB2312" w:hAnsi="仿宋_GB2312" w:eastAsia="仿宋_GB2312" w:cs="仿宋_GB2312"/>
          <w:sz w:val="32"/>
          <w:szCs w:val="32"/>
        </w:rPr>
        <w:t>应急处置的，由</w:t>
      </w:r>
      <w:r>
        <w:rPr>
          <w:rFonts w:hint="eastAsia" w:ascii="仿宋_GB2312" w:hAnsi="仿宋_GB2312" w:eastAsia="仿宋_GB2312" w:cs="仿宋_GB2312"/>
          <w:sz w:val="32"/>
          <w:szCs w:val="32"/>
          <w:lang w:eastAsia="zh-CN"/>
        </w:rPr>
        <w:t>聊城经济技术开发区市场监督管理部（区</w:t>
      </w:r>
      <w:r>
        <w:rPr>
          <w:rFonts w:hint="eastAsia" w:ascii="仿宋_GB2312" w:hAnsi="仿宋_GB2312" w:eastAsia="仿宋_GB2312" w:cs="仿宋_GB2312"/>
          <w:sz w:val="32"/>
          <w:szCs w:val="32"/>
        </w:rPr>
        <w:t>食</w:t>
      </w:r>
      <w:r>
        <w:rPr>
          <w:rFonts w:hint="eastAsia" w:ascii="仿宋_GB2312" w:hAnsi="仿宋_GB2312" w:eastAsia="仿宋_GB2312" w:cs="仿宋_GB2312"/>
          <w:sz w:val="32"/>
          <w:szCs w:val="32"/>
          <w:lang w:eastAsia="zh-CN"/>
        </w:rPr>
        <w:t>药</w:t>
      </w:r>
      <w:r>
        <w:rPr>
          <w:rFonts w:hint="eastAsia" w:ascii="仿宋_GB2312" w:hAnsi="仿宋_GB2312" w:eastAsia="仿宋_GB2312" w:cs="仿宋_GB2312"/>
          <w:sz w:val="32"/>
          <w:szCs w:val="32"/>
        </w:rPr>
        <w:t>安办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向</w:t>
      </w:r>
      <w:r>
        <w:rPr>
          <w:rFonts w:hint="eastAsia" w:ascii="仿宋_GB2312" w:hAnsi="仿宋_GB2312" w:eastAsia="仿宋_GB2312" w:cs="仿宋_GB2312"/>
          <w:sz w:val="32"/>
          <w:szCs w:val="32"/>
          <w:lang w:eastAsia="zh-CN"/>
        </w:rPr>
        <w:t>聊城经济技术开发区管委会</w:t>
      </w:r>
      <w:r>
        <w:rPr>
          <w:rFonts w:hint="eastAsia" w:ascii="仿宋_GB2312" w:hAnsi="仿宋_GB2312" w:eastAsia="仿宋_GB2312" w:cs="仿宋_GB2312"/>
          <w:sz w:val="32"/>
          <w:szCs w:val="32"/>
        </w:rPr>
        <w:t>提出启动应急响应建议，其中I级食品安全事故应按规定报国务院及有关部门开展相应应急处置工作，Ⅱ级食品安全事故应按规定报省政府及有关部门开展相应应急处置工作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Ⅲ级食品安全事故应按规定报</w:t>
      </w:r>
      <w:r>
        <w:rPr>
          <w:rFonts w:hint="eastAsia" w:ascii="仿宋_GB2312" w:hAnsi="仿宋_GB2312" w:eastAsia="仿宋_GB2312" w:cs="仿宋_GB2312"/>
          <w:sz w:val="32"/>
          <w:szCs w:val="32"/>
          <w:lang w:eastAsia="zh-CN"/>
        </w:rPr>
        <w:t>聊城市</w:t>
      </w:r>
      <w:r>
        <w:rPr>
          <w:rFonts w:hint="eastAsia" w:ascii="仿宋_GB2312" w:hAnsi="仿宋_GB2312" w:eastAsia="仿宋_GB2312" w:cs="仿宋_GB2312"/>
          <w:sz w:val="32"/>
          <w:szCs w:val="32"/>
        </w:rPr>
        <w:t>政府及有关部门开展相应应急处置工作</w:t>
      </w:r>
      <w:r>
        <w:rPr>
          <w:rFonts w:hint="eastAsia" w:ascii="仿宋_GB2312" w:hAnsi="仿宋_GB2312" w:eastAsia="仿宋_GB2312" w:cs="仿宋_GB2312"/>
          <w:sz w:val="32"/>
          <w:szCs w:val="32"/>
          <w:lang w:eastAsia="zh-CN"/>
        </w:rPr>
        <w:t>，Ⅳ级</w:t>
      </w:r>
      <w:r>
        <w:rPr>
          <w:rFonts w:hint="eastAsia" w:ascii="仿宋_GB2312" w:hAnsi="仿宋_GB2312" w:eastAsia="仿宋_GB2312" w:cs="仿宋_GB2312"/>
          <w:sz w:val="32"/>
          <w:szCs w:val="32"/>
        </w:rPr>
        <w:t>食品安全事故经</w:t>
      </w:r>
      <w:r>
        <w:rPr>
          <w:rFonts w:hint="eastAsia" w:ascii="仿宋_GB2312" w:hAnsi="仿宋_GB2312" w:eastAsia="仿宋_GB2312" w:cs="仿宋_GB2312"/>
          <w:sz w:val="32"/>
          <w:szCs w:val="32"/>
          <w:lang w:eastAsia="zh-CN"/>
        </w:rPr>
        <w:t>聊城经济技术开发区管委会</w:t>
      </w:r>
      <w:r>
        <w:rPr>
          <w:rFonts w:hint="eastAsia" w:ascii="仿宋_GB2312" w:hAnsi="仿宋_GB2312" w:eastAsia="仿宋_GB2312" w:cs="仿宋_GB2312"/>
          <w:sz w:val="32"/>
          <w:szCs w:val="32"/>
        </w:rPr>
        <w:t>批准后，成立</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食品安全事故应急处置指挥部，统一领导和指挥事故应急处置工作。</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2.2指挥部设置</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指挥部总指挥由</w:t>
      </w:r>
      <w:r>
        <w:rPr>
          <w:rFonts w:hint="eastAsia" w:ascii="仿宋_GB2312" w:hAnsi="仿宋_GB2312" w:eastAsia="仿宋_GB2312" w:cs="仿宋_GB2312"/>
          <w:sz w:val="32"/>
          <w:szCs w:val="32"/>
          <w:lang w:eastAsia="zh-CN"/>
        </w:rPr>
        <w:t>聊城经济技术开发区管委会领导</w:t>
      </w:r>
      <w:r>
        <w:rPr>
          <w:rFonts w:hint="eastAsia" w:ascii="仿宋_GB2312" w:hAnsi="仿宋_GB2312" w:eastAsia="仿宋_GB2312" w:cs="仿宋_GB2312"/>
          <w:sz w:val="32"/>
          <w:szCs w:val="32"/>
        </w:rPr>
        <w:t>担任，或由</w:t>
      </w:r>
      <w:r>
        <w:rPr>
          <w:rFonts w:hint="eastAsia" w:ascii="仿宋_GB2312" w:hAnsi="仿宋_GB2312" w:eastAsia="仿宋_GB2312" w:cs="仿宋_GB2312"/>
          <w:sz w:val="32"/>
          <w:szCs w:val="32"/>
          <w:lang w:eastAsia="zh-CN"/>
        </w:rPr>
        <w:t>聊城经济技术开发区管委会领导</w:t>
      </w:r>
      <w:r>
        <w:rPr>
          <w:rFonts w:hint="eastAsia" w:ascii="仿宋_GB2312" w:hAnsi="仿宋_GB2312" w:eastAsia="仿宋_GB2312" w:cs="仿宋_GB2312"/>
          <w:sz w:val="32"/>
          <w:szCs w:val="32"/>
        </w:rPr>
        <w:t>授权指定有关部门或单位的负责同志担任，有关单位为成员。</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指挥部成员单位根据事故的性质和应急处置工作的需要确定，主要包括</w:t>
      </w:r>
      <w:r>
        <w:rPr>
          <w:rFonts w:hint="eastAsia" w:ascii="仿宋_GB2312" w:hAnsi="仿宋_GB2312" w:eastAsia="仿宋_GB2312" w:cs="仿宋_GB2312"/>
          <w:sz w:val="32"/>
          <w:szCs w:val="32"/>
          <w:lang w:eastAsia="zh-CN"/>
        </w:rPr>
        <w:t>宣传办公室</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政法维稳处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经济发展部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教体分局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财政金融部、</w:t>
      </w:r>
      <w:r>
        <w:rPr>
          <w:rFonts w:hint="eastAsia" w:ascii="仿宋_GB2312" w:hAnsi="仿宋_GB2312" w:eastAsia="仿宋_GB2312" w:cs="仿宋_GB2312"/>
          <w:sz w:val="32"/>
          <w:szCs w:val="32"/>
        </w:rPr>
        <w:t>自然资源和规划</w:t>
      </w:r>
      <w:r>
        <w:rPr>
          <w:rFonts w:hint="eastAsia" w:ascii="仿宋_GB2312" w:hAnsi="仿宋_GB2312" w:eastAsia="仿宋_GB2312" w:cs="仿宋_GB2312"/>
          <w:sz w:val="32"/>
          <w:szCs w:val="32"/>
          <w:lang w:eastAsia="zh-CN"/>
        </w:rPr>
        <w:t>分</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eastAsia="zh-CN"/>
        </w:rPr>
        <w:t>生态</w:t>
      </w:r>
      <w:r>
        <w:rPr>
          <w:rFonts w:hint="eastAsia" w:ascii="仿宋_GB2312" w:hAnsi="仿宋_GB2312" w:eastAsia="仿宋_GB2312" w:cs="仿宋_GB2312"/>
          <w:sz w:val="32"/>
          <w:szCs w:val="32"/>
        </w:rPr>
        <w:t>环境</w:t>
      </w:r>
      <w:r>
        <w:rPr>
          <w:rFonts w:hint="eastAsia" w:ascii="仿宋_GB2312" w:hAnsi="仿宋_GB2312" w:eastAsia="仿宋_GB2312" w:cs="仿宋_GB2312"/>
          <w:sz w:val="32"/>
          <w:szCs w:val="32"/>
          <w:lang w:eastAsia="zh-CN"/>
        </w:rPr>
        <w:t>分</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eastAsia="zh-CN"/>
        </w:rPr>
        <w:t>建设管理部</w:t>
      </w:r>
      <w:r>
        <w:rPr>
          <w:rFonts w:hint="eastAsia" w:ascii="仿宋_GB2312" w:hAnsi="仿宋_GB2312" w:eastAsia="仿宋_GB2312" w:cs="仿宋_GB2312"/>
          <w:sz w:val="32"/>
          <w:szCs w:val="32"/>
        </w:rPr>
        <w:t>、农业农村</w:t>
      </w:r>
      <w:r>
        <w:rPr>
          <w:rFonts w:hint="eastAsia" w:ascii="仿宋_GB2312" w:hAnsi="仿宋_GB2312" w:eastAsia="仿宋_GB2312" w:cs="仿宋_GB2312"/>
          <w:sz w:val="32"/>
          <w:szCs w:val="32"/>
          <w:lang w:eastAsia="zh-CN"/>
        </w:rPr>
        <w:t>分</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eastAsia="zh-CN"/>
        </w:rPr>
        <w:t>商务</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lang w:eastAsia="zh-CN"/>
        </w:rPr>
        <w:t>投资促进部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发展保障部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卫健管理办公室</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应急管理处</w:t>
      </w:r>
      <w:r>
        <w:rPr>
          <w:rFonts w:hint="eastAsia" w:ascii="仿宋_GB2312" w:hAnsi="仿宋_GB2312" w:eastAsia="仿宋_GB2312" w:cs="仿宋_GB2312"/>
          <w:sz w:val="32"/>
          <w:szCs w:val="32"/>
        </w:rPr>
        <w:t>、市场</w:t>
      </w:r>
      <w:r>
        <w:rPr>
          <w:rFonts w:hint="eastAsia" w:ascii="仿宋_GB2312" w:hAnsi="仿宋_GB2312" w:eastAsia="仿宋_GB2312" w:cs="仿宋_GB2312"/>
          <w:sz w:val="32"/>
          <w:szCs w:val="32"/>
          <w:lang w:val="en-US" w:eastAsia="zh-CN"/>
        </w:rPr>
        <w:t>监督管理</w:t>
      </w:r>
      <w:r>
        <w:rPr>
          <w:rFonts w:hint="eastAsia" w:ascii="仿宋_GB2312" w:hAnsi="仿宋_GB2312" w:eastAsia="仿宋_GB2312" w:cs="仿宋_GB2312"/>
          <w:sz w:val="32"/>
          <w:szCs w:val="32"/>
          <w:lang w:eastAsia="zh-CN"/>
        </w:rPr>
        <w:t>部（区</w:t>
      </w:r>
      <w:r>
        <w:rPr>
          <w:rFonts w:hint="eastAsia" w:ascii="仿宋_GB2312" w:hAnsi="仿宋_GB2312" w:eastAsia="仿宋_GB2312" w:cs="仿宋_GB2312"/>
          <w:sz w:val="32"/>
          <w:szCs w:val="32"/>
        </w:rPr>
        <w:t>食</w:t>
      </w:r>
      <w:r>
        <w:rPr>
          <w:rFonts w:hint="eastAsia" w:ascii="仿宋_GB2312" w:hAnsi="仿宋_GB2312" w:eastAsia="仿宋_GB2312" w:cs="仿宋_GB2312"/>
          <w:sz w:val="32"/>
          <w:szCs w:val="32"/>
          <w:lang w:eastAsia="zh-CN"/>
        </w:rPr>
        <w:t>药</w:t>
      </w:r>
      <w:r>
        <w:rPr>
          <w:rFonts w:hint="eastAsia" w:ascii="仿宋_GB2312" w:hAnsi="仿宋_GB2312" w:eastAsia="仿宋_GB2312" w:cs="仿宋_GB2312"/>
          <w:sz w:val="32"/>
          <w:szCs w:val="32"/>
        </w:rPr>
        <w:t>安办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等以及相关行业协会组织。</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2.3指挥部职责</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指挥部负责统一领导事故应急处置工作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研究事故应急处置的决策部署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组织发布事故的重要信息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审议批准指挥部办公室提交的应急处置工作报告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向</w:t>
      </w:r>
      <w:r>
        <w:rPr>
          <w:rFonts w:hint="eastAsia" w:ascii="仿宋_GB2312" w:hAnsi="仿宋_GB2312" w:eastAsia="仿宋_GB2312" w:cs="仿宋_GB2312"/>
          <w:sz w:val="32"/>
          <w:szCs w:val="32"/>
          <w:lang w:eastAsia="zh-CN"/>
        </w:rPr>
        <w:t>聊城市人民</w:t>
      </w:r>
      <w:r>
        <w:rPr>
          <w:rFonts w:hint="eastAsia" w:ascii="仿宋_GB2312" w:hAnsi="仿宋_GB2312" w:eastAsia="仿宋_GB2312" w:cs="仿宋_GB2312"/>
          <w:sz w:val="32"/>
          <w:szCs w:val="32"/>
        </w:rPr>
        <w:t>政府及</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有关部门报告事故应急</w:t>
      </w:r>
      <w:r>
        <w:rPr>
          <w:rFonts w:hint="eastAsia" w:ascii="仿宋_GB2312" w:hAnsi="仿宋_GB2312" w:eastAsia="仿宋_GB2312" w:cs="仿宋_GB2312"/>
          <w:sz w:val="32"/>
          <w:szCs w:val="32"/>
          <w:lang w:eastAsia="zh-CN"/>
        </w:rPr>
        <w:t>处置</w:t>
      </w:r>
      <w:r>
        <w:rPr>
          <w:rFonts w:hint="eastAsia" w:ascii="仿宋_GB2312" w:hAnsi="仿宋_GB2312" w:eastAsia="仿宋_GB2312" w:cs="仿宋_GB2312"/>
          <w:sz w:val="32"/>
          <w:szCs w:val="32"/>
        </w:rPr>
        <w:t>工作情况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应急处置的其他工作</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2.4指挥部办公室职责</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指挥部办公室承担指挥部的日常工作，主要负责贯彻落实指挥部的各项部署，组织实施事故应急处置工作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检查督促相关</w:t>
      </w:r>
      <w:r>
        <w:rPr>
          <w:rFonts w:hint="eastAsia" w:ascii="仿宋_GB2312" w:hAnsi="仿宋_GB2312" w:eastAsia="仿宋_GB2312" w:cs="仿宋_GB2312"/>
          <w:sz w:val="32"/>
          <w:szCs w:val="32"/>
          <w:lang w:eastAsia="zh-CN"/>
        </w:rPr>
        <w:t>办事处</w:t>
      </w:r>
      <w:r>
        <w:rPr>
          <w:rFonts w:hint="eastAsia" w:ascii="仿宋_GB2312" w:hAnsi="仿宋_GB2312" w:eastAsia="仿宋_GB2312" w:cs="仿宋_GB2312"/>
          <w:sz w:val="32"/>
          <w:szCs w:val="32"/>
        </w:rPr>
        <w:t>和有关部门做好各项应急处置工作，及时有效地控制事故，防止事态蔓延扩大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研究协调解决事故应急处置工作中的具体问题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搜集整理有关事故处置信息，及时向指挥部领导提出事故处置建议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向</w:t>
      </w:r>
      <w:r>
        <w:rPr>
          <w:rFonts w:hint="eastAsia" w:ascii="仿宋_GB2312" w:hAnsi="仿宋_GB2312" w:eastAsia="仿宋_GB2312" w:cs="仿宋_GB2312"/>
          <w:sz w:val="32"/>
          <w:szCs w:val="32"/>
          <w:lang w:eastAsia="zh-CN"/>
        </w:rPr>
        <w:t>聊城市食药安办、聊城经济技术开发区管委会、区指挥部及</w:t>
      </w:r>
      <w:r>
        <w:rPr>
          <w:rFonts w:hint="eastAsia" w:ascii="仿宋_GB2312" w:hAnsi="仿宋_GB2312" w:eastAsia="仿宋_GB2312" w:cs="仿宋_GB2312"/>
          <w:sz w:val="32"/>
          <w:szCs w:val="32"/>
        </w:rPr>
        <w:t>其成员单位报告、通报事故应急处置进展情况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组织信息发布，接受媒体采访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完成指挥部交办的其他任务。</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2.5成员单位职责</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各成员单位在指挥部统一领导下开展工作，加强对事故发生地有关部门的督促、指导，积极参与应急救援工作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rPr>
        <w:t>具体职责见附件2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2.6工作组设置及职责</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根据事故处置需要，指挥部可下设若干工作组。</w:t>
      </w:r>
      <w:r>
        <w:rPr>
          <w:rFonts w:hint="eastAsia" w:ascii="仿宋_GB2312" w:hAnsi="仿宋_GB2312" w:eastAsia="仿宋_GB2312" w:cs="仿宋_GB2312"/>
          <w:sz w:val="32"/>
          <w:szCs w:val="32"/>
          <w:lang w:eastAsia="zh-CN"/>
        </w:rPr>
        <w:t>区一般</w:t>
      </w:r>
      <w:r>
        <w:rPr>
          <w:rFonts w:hint="eastAsia" w:ascii="仿宋_GB2312" w:hAnsi="仿宋_GB2312" w:eastAsia="仿宋_GB2312" w:cs="仿宋_GB2312"/>
          <w:sz w:val="32"/>
          <w:szCs w:val="32"/>
        </w:rPr>
        <w:t>食品安全事故应急响应启动后，各工作组在指挥部的统一指挥下分别开展工作，并随时向指挥部办公室报告工作开展情况。</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事故调查组</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根据事故发生原因和环节，由</w:t>
      </w:r>
      <w:r>
        <w:rPr>
          <w:rFonts w:hint="eastAsia" w:ascii="仿宋_GB2312" w:hAnsi="仿宋_GB2312" w:eastAsia="仿宋_GB2312" w:cs="仿宋_GB2312"/>
          <w:sz w:val="32"/>
          <w:szCs w:val="32"/>
          <w:lang w:eastAsia="zh-CN"/>
        </w:rPr>
        <w:t>聊城经济技术开发区市场监督管理部（区</w:t>
      </w:r>
      <w:r>
        <w:rPr>
          <w:rFonts w:hint="eastAsia" w:ascii="仿宋_GB2312" w:hAnsi="仿宋_GB2312" w:eastAsia="仿宋_GB2312" w:cs="仿宋_GB2312"/>
          <w:sz w:val="32"/>
          <w:szCs w:val="32"/>
        </w:rPr>
        <w:t>食</w:t>
      </w:r>
      <w:r>
        <w:rPr>
          <w:rFonts w:hint="eastAsia" w:ascii="仿宋_GB2312" w:hAnsi="仿宋_GB2312" w:eastAsia="仿宋_GB2312" w:cs="仿宋_GB2312"/>
          <w:sz w:val="32"/>
          <w:szCs w:val="32"/>
          <w:lang w:eastAsia="zh-CN"/>
        </w:rPr>
        <w:t>药</w:t>
      </w:r>
      <w:r>
        <w:rPr>
          <w:rFonts w:hint="eastAsia" w:ascii="仿宋_GB2312" w:hAnsi="仿宋_GB2312" w:eastAsia="仿宋_GB2312" w:cs="仿宋_GB2312"/>
          <w:sz w:val="32"/>
          <w:szCs w:val="32"/>
        </w:rPr>
        <w:t>安办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牵头，会同</w:t>
      </w:r>
      <w:r>
        <w:rPr>
          <w:rFonts w:hint="eastAsia" w:ascii="仿宋_GB2312" w:hAnsi="仿宋_GB2312" w:eastAsia="仿宋_GB2312" w:cs="仿宋_GB2312"/>
          <w:sz w:val="32"/>
          <w:szCs w:val="32"/>
          <w:lang w:eastAsia="zh-CN"/>
        </w:rPr>
        <w:t>卫健管理办公室</w:t>
      </w:r>
      <w:r>
        <w:rPr>
          <w:rFonts w:hint="eastAsia" w:ascii="仿宋_GB2312" w:hAnsi="仿宋_GB2312" w:eastAsia="仿宋_GB2312" w:cs="仿宋_GB2312"/>
          <w:sz w:val="32"/>
          <w:szCs w:val="32"/>
        </w:rPr>
        <w:t>和相关部门，深入调查事故发生原因，评估事故影响，作出调查结论，提出事故防范意见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对涉嫌犯罪的，由</w:t>
      </w:r>
      <w:r>
        <w:rPr>
          <w:rFonts w:hint="eastAsia" w:ascii="仿宋_GB2312" w:hAnsi="仿宋_GB2312" w:eastAsia="仿宋_GB2312" w:cs="仿宋_GB2312"/>
          <w:sz w:val="32"/>
          <w:szCs w:val="32"/>
          <w:lang w:eastAsia="zh-CN"/>
        </w:rPr>
        <w:t>公安分局</w:t>
      </w:r>
      <w:r>
        <w:rPr>
          <w:rFonts w:hint="eastAsia" w:ascii="仿宋_GB2312" w:hAnsi="仿宋_GB2312" w:eastAsia="仿宋_GB2312" w:cs="仿宋_GB2312"/>
          <w:sz w:val="32"/>
          <w:szCs w:val="32"/>
        </w:rPr>
        <w:t>负责或督促、指导涉案地公安机关立案侦办，查清事实，依法追究刑事责任。根据实际需要，事故调查组可以设置在事故发生地或派出部分人员赶赴现场开展事故调查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简称“前方工作组”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危害控制组</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事件性质和部门职责，由事故发生环节的具体监管职能部门牵头，会同相关监管部门监督、指导事故发生地政府职能部门依法封存有关食品、原料、食品添加剂及食品相关产品，监督、责令引发食品安全事故的食品生产经营企业召回或停止经营，严防危害蔓延和扩大。</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医疗救治组</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lang w:eastAsia="zh-CN"/>
        </w:rPr>
        <w:t>卫健管理办公室</w:t>
      </w:r>
      <w:r>
        <w:rPr>
          <w:rFonts w:hint="eastAsia" w:ascii="仿宋_GB2312" w:hAnsi="仿宋_GB2312" w:eastAsia="仿宋_GB2312" w:cs="仿宋_GB2312"/>
          <w:sz w:val="32"/>
          <w:szCs w:val="32"/>
        </w:rPr>
        <w:t>负责，迅速开展医疗救治工作，结合事故调查组的调查情况，制定最佳救治方案。组织对健康受到危害的人员进行医疗救治</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检测评估组</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lang w:eastAsia="zh-CN"/>
        </w:rPr>
        <w:t>卫健管理办公室</w:t>
      </w:r>
      <w:r>
        <w:rPr>
          <w:rFonts w:hint="eastAsia" w:ascii="仿宋_GB2312" w:hAnsi="仿宋_GB2312" w:eastAsia="仿宋_GB2312" w:cs="仿宋_GB2312"/>
          <w:sz w:val="32"/>
          <w:szCs w:val="32"/>
        </w:rPr>
        <w:t>牵头，会同相关成员单位提出检测方案和要求，组织疾病预防控制机构和相关检测机构，实施相关检测，综合分析各方检测数据，查找事故原因和评估事故发展趋势，预测事故后果，为制定现场抢救方案和采取控制措施提供参考。检测评估结果要及时报告指挥部办公室，并通报相关监管部门。</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维护稳定组</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lang w:eastAsia="zh-CN"/>
        </w:rPr>
        <w:t>公安分局</w:t>
      </w:r>
      <w:r>
        <w:rPr>
          <w:rFonts w:hint="eastAsia" w:ascii="仿宋_GB2312" w:hAnsi="仿宋_GB2312" w:eastAsia="仿宋_GB2312" w:cs="仿宋_GB2312"/>
          <w:sz w:val="32"/>
          <w:szCs w:val="32"/>
        </w:rPr>
        <w:t>牵头，指导事故发生地公安机关加强治安管理，迅速组织警力保护现场、维护秩序和交通疏导等，保障事故调查与医疗救治等工作顺利进行，积极配合</w:t>
      </w:r>
      <w:r>
        <w:rPr>
          <w:rFonts w:hint="eastAsia" w:ascii="仿宋_GB2312" w:hAnsi="仿宋_GB2312" w:eastAsia="仿宋_GB2312" w:cs="仿宋_GB2312"/>
          <w:sz w:val="32"/>
          <w:szCs w:val="32"/>
          <w:lang w:eastAsia="zh-CN"/>
        </w:rPr>
        <w:t>聊城经济技术开发区党工委、管委会</w:t>
      </w:r>
      <w:r>
        <w:rPr>
          <w:rFonts w:hint="eastAsia" w:ascii="仿宋_GB2312" w:hAnsi="仿宋_GB2312" w:eastAsia="仿宋_GB2312" w:cs="仿宋_GB2312"/>
          <w:sz w:val="32"/>
          <w:szCs w:val="32"/>
        </w:rPr>
        <w:t>和有关部门化解因事故造成的矛盾纠纷，维护社会稳定</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新闻宣传组</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lang w:eastAsia="zh-CN"/>
        </w:rPr>
        <w:t>宣传办公室</w:t>
      </w:r>
      <w:r>
        <w:rPr>
          <w:rFonts w:hint="eastAsia" w:ascii="仿宋_GB2312" w:hAnsi="仿宋_GB2312" w:eastAsia="仿宋_GB2312" w:cs="仿宋_GB2312"/>
          <w:sz w:val="32"/>
          <w:szCs w:val="32"/>
        </w:rPr>
        <w:t>牵头，会同</w:t>
      </w:r>
      <w:r>
        <w:rPr>
          <w:rFonts w:hint="eastAsia" w:ascii="仿宋_GB2312" w:hAnsi="仿宋_GB2312" w:eastAsia="仿宋_GB2312" w:cs="仿宋_GB2312"/>
          <w:sz w:val="32"/>
          <w:szCs w:val="32"/>
          <w:lang w:eastAsia="zh-CN"/>
        </w:rPr>
        <w:t>聊城经济技术开发区市场监督管理部（区</w:t>
      </w:r>
      <w:r>
        <w:rPr>
          <w:rFonts w:hint="eastAsia" w:ascii="仿宋_GB2312" w:hAnsi="仿宋_GB2312" w:eastAsia="仿宋_GB2312" w:cs="仿宋_GB2312"/>
          <w:sz w:val="32"/>
          <w:szCs w:val="32"/>
        </w:rPr>
        <w:t>食</w:t>
      </w:r>
      <w:r>
        <w:rPr>
          <w:rFonts w:hint="eastAsia" w:ascii="仿宋_GB2312" w:hAnsi="仿宋_GB2312" w:eastAsia="仿宋_GB2312" w:cs="仿宋_GB2312"/>
          <w:sz w:val="32"/>
          <w:szCs w:val="32"/>
          <w:lang w:eastAsia="zh-CN"/>
        </w:rPr>
        <w:t>药</w:t>
      </w:r>
      <w:r>
        <w:rPr>
          <w:rFonts w:hint="eastAsia" w:ascii="仿宋_GB2312" w:hAnsi="仿宋_GB2312" w:eastAsia="仿宋_GB2312" w:cs="仿宋_GB2312"/>
          <w:sz w:val="32"/>
          <w:szCs w:val="32"/>
        </w:rPr>
        <w:t>安办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等相关部门，指导事故发生地人民政府及新闻宣传部门组织事故处置宣传报道和舆论引导，并配合相关部门做好信息发布工作。</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专家组</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根据需要，指挥部成立由有关方面专家组成的专家组，负责对事故进行分析评估，为应急响应的调整和解除及应急处置管理工作提供决策建议，必要时参与应急处置工作。</w:t>
      </w:r>
      <w:r>
        <w:rPr>
          <w:rFonts w:hint="eastAsia" w:ascii="仿宋_GB2312" w:hAnsi="仿宋_GB2312" w:eastAsia="仿宋_GB2312" w:cs="仿宋_GB2312"/>
          <w:sz w:val="32"/>
          <w:szCs w:val="32"/>
          <w:lang w:eastAsia="zh-CN"/>
        </w:rPr>
        <w:t>聊城经济技术开发区市场监督管理部（区</w:t>
      </w:r>
      <w:r>
        <w:rPr>
          <w:rFonts w:hint="eastAsia" w:ascii="仿宋_GB2312" w:hAnsi="仿宋_GB2312" w:eastAsia="仿宋_GB2312" w:cs="仿宋_GB2312"/>
          <w:sz w:val="32"/>
          <w:szCs w:val="32"/>
        </w:rPr>
        <w:t>食</w:t>
      </w:r>
      <w:r>
        <w:rPr>
          <w:rFonts w:hint="eastAsia" w:ascii="仿宋_GB2312" w:hAnsi="仿宋_GB2312" w:eastAsia="仿宋_GB2312" w:cs="仿宋_GB2312"/>
          <w:sz w:val="32"/>
          <w:szCs w:val="32"/>
          <w:lang w:eastAsia="zh-CN"/>
        </w:rPr>
        <w:t>药</w:t>
      </w:r>
      <w:r>
        <w:rPr>
          <w:rFonts w:hint="eastAsia" w:ascii="仿宋_GB2312" w:hAnsi="仿宋_GB2312" w:eastAsia="仿宋_GB2312" w:cs="仿宋_GB2312"/>
          <w:sz w:val="32"/>
          <w:szCs w:val="32"/>
        </w:rPr>
        <w:t>安办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负责牵头组建专家库。专家库应包括食品卫生学、流行病学、临床医学、毒理学、化学、生物学、法学等领域的专家、学者和专业人员。</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如事故涉及较大范围的经济赔偿问题，可单设民事赔偿组，负责指导事发地人民政府做好相关善后工作。</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如事件涉及国外或港澳台地区，应成立涉外组或港澳台组，由</w:t>
      </w:r>
      <w:r>
        <w:rPr>
          <w:rFonts w:hint="eastAsia" w:ascii="仿宋_GB2312" w:hAnsi="仿宋_GB2312" w:eastAsia="仿宋_GB2312" w:cs="仿宋_GB2312"/>
          <w:color w:val="000000" w:themeColor="text1"/>
          <w:sz w:val="32"/>
          <w:szCs w:val="32"/>
          <w:lang w:eastAsia="zh-CN"/>
          <w14:textFill>
            <w14:solidFill>
              <w14:schemeClr w14:val="tx1"/>
            </w14:solidFill>
          </w14:textFill>
        </w:rPr>
        <w:t>商务和投资促进部</w:t>
      </w:r>
      <w:r>
        <w:rPr>
          <w:rFonts w:hint="eastAsia" w:ascii="仿宋_GB2312" w:hAnsi="仿宋_GB2312" w:eastAsia="仿宋_GB2312" w:cs="仿宋_GB2312"/>
          <w:color w:val="000000" w:themeColor="text1"/>
          <w:sz w:val="32"/>
          <w:szCs w:val="32"/>
          <w14:textFill>
            <w14:solidFill>
              <w14:schemeClr w14:val="tx1"/>
            </w14:solidFill>
          </w14:textFill>
        </w:rPr>
        <w:t>负责协调处理食品安全事故中涉及外籍人员、港澳台人员的应急处置工作。</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2.7应急处置专业技术机构</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医疗、疾病预防控制、食品药品检验及有关部门的食品安全相关技术机构作为食品安全事故应急处置专业技术机构，应当在</w:t>
      </w:r>
      <w:r>
        <w:rPr>
          <w:rFonts w:hint="eastAsia" w:ascii="仿宋_GB2312" w:hAnsi="仿宋_GB2312" w:eastAsia="仿宋_GB2312" w:cs="仿宋_GB2312"/>
          <w:sz w:val="32"/>
          <w:szCs w:val="32"/>
          <w:lang w:eastAsia="zh-CN"/>
        </w:rPr>
        <w:t>卫健管理办公室</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市场监管</w:t>
      </w:r>
      <w:r>
        <w:rPr>
          <w:rFonts w:hint="eastAsia" w:ascii="仿宋_GB2312" w:hAnsi="仿宋_GB2312" w:eastAsia="仿宋_GB2312" w:cs="仿宋_GB2312"/>
          <w:sz w:val="32"/>
          <w:szCs w:val="32"/>
          <w:lang w:eastAsia="zh-CN"/>
        </w:rPr>
        <w:t>部（区</w:t>
      </w:r>
      <w:r>
        <w:rPr>
          <w:rFonts w:hint="eastAsia" w:ascii="仿宋_GB2312" w:hAnsi="仿宋_GB2312" w:eastAsia="仿宋_GB2312" w:cs="仿宋_GB2312"/>
          <w:sz w:val="32"/>
          <w:szCs w:val="32"/>
        </w:rPr>
        <w:t>食</w:t>
      </w:r>
      <w:r>
        <w:rPr>
          <w:rFonts w:hint="eastAsia" w:ascii="仿宋_GB2312" w:hAnsi="仿宋_GB2312" w:eastAsia="仿宋_GB2312" w:cs="仿宋_GB2312"/>
          <w:sz w:val="32"/>
          <w:szCs w:val="32"/>
          <w:lang w:eastAsia="zh-CN"/>
        </w:rPr>
        <w:t>药</w:t>
      </w:r>
      <w:r>
        <w:rPr>
          <w:rFonts w:hint="eastAsia" w:ascii="仿宋_GB2312" w:hAnsi="仿宋_GB2312" w:eastAsia="仿宋_GB2312" w:cs="仿宋_GB2312"/>
          <w:sz w:val="32"/>
          <w:szCs w:val="32"/>
        </w:rPr>
        <w:t>安办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等有关部门组织领导下开展应急处置相关工作。</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2.8</w:t>
      </w:r>
      <w:r>
        <w:rPr>
          <w:rFonts w:hint="eastAsia" w:ascii="楷体_GB2312" w:hAnsi="楷体_GB2312" w:eastAsia="楷体_GB2312" w:cs="楷体_GB2312"/>
          <w:color w:val="000000" w:themeColor="text1"/>
          <w:sz w:val="32"/>
          <w:szCs w:val="32"/>
          <w:lang w:eastAsia="zh-CN"/>
          <w14:textFill>
            <w14:solidFill>
              <w14:schemeClr w14:val="tx1"/>
            </w14:solidFill>
          </w14:textFill>
        </w:rPr>
        <w:t>街道办事处</w:t>
      </w:r>
      <w:r>
        <w:rPr>
          <w:rFonts w:hint="eastAsia" w:ascii="楷体_GB2312" w:hAnsi="楷体_GB2312" w:eastAsia="楷体_GB2312" w:cs="楷体_GB2312"/>
          <w:color w:val="000000" w:themeColor="text1"/>
          <w:sz w:val="32"/>
          <w:szCs w:val="32"/>
          <w14:textFill>
            <w14:solidFill>
              <w14:schemeClr w14:val="tx1"/>
            </w14:solidFill>
          </w14:textFill>
        </w:rPr>
        <w:t>级指挥部设置及职责</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食品安全事故发生地</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街道</w:t>
      </w:r>
      <w:r>
        <w:rPr>
          <w:rFonts w:hint="eastAsia" w:ascii="仿宋_GB2312" w:hAnsi="仿宋_GB2312" w:eastAsia="仿宋_GB2312" w:cs="仿宋_GB2312"/>
          <w:color w:val="000000" w:themeColor="text1"/>
          <w:sz w:val="32"/>
          <w:szCs w:val="32"/>
          <w:lang w:eastAsia="zh-CN"/>
          <w14:textFill>
            <w14:solidFill>
              <w14:schemeClr w14:val="tx1"/>
            </w14:solidFill>
          </w14:textFill>
        </w:rPr>
        <w:t>办事处</w:t>
      </w:r>
      <w:r>
        <w:rPr>
          <w:rFonts w:hint="eastAsia" w:ascii="仿宋_GB2312" w:hAnsi="仿宋_GB2312" w:eastAsia="仿宋_GB2312" w:cs="仿宋_GB2312"/>
          <w:color w:val="000000" w:themeColor="text1"/>
          <w:sz w:val="32"/>
          <w:szCs w:val="32"/>
          <w14:textFill>
            <w14:solidFill>
              <w14:schemeClr w14:val="tx1"/>
            </w14:solidFill>
          </w14:textFill>
        </w:rPr>
        <w:t>成立应急处置指挥部，在上级食品安全事故应急处置指挥部的指导和本级政府的领导下，负责组织、协调和指挥本地食品安全事故的应急处置工作，并负责需要上级政府组织、协调的特别重大、重大，较大</w:t>
      </w:r>
      <w:r>
        <w:rPr>
          <w:rFonts w:hint="eastAsia" w:ascii="仿宋_GB2312" w:hAnsi="仿宋_GB2312" w:eastAsia="仿宋_GB2312" w:cs="仿宋_GB2312"/>
          <w:color w:val="000000" w:themeColor="text1"/>
          <w:sz w:val="32"/>
          <w:szCs w:val="32"/>
          <w:lang w:eastAsia="zh-CN"/>
          <w14:textFill>
            <w14:solidFill>
              <w14:schemeClr w14:val="tx1"/>
            </w14:solidFill>
          </w14:textFill>
        </w:rPr>
        <w:t>，一般</w:t>
      </w:r>
      <w:r>
        <w:rPr>
          <w:rFonts w:hint="eastAsia" w:ascii="仿宋_GB2312" w:hAnsi="仿宋_GB2312" w:eastAsia="仿宋_GB2312" w:cs="仿宋_GB2312"/>
          <w:color w:val="000000" w:themeColor="text1"/>
          <w:sz w:val="32"/>
          <w:szCs w:val="32"/>
          <w14:textFill>
            <w14:solidFill>
              <w14:schemeClr w14:val="tx1"/>
            </w14:solidFill>
          </w14:textFill>
        </w:rPr>
        <w:t>食品安全事故的先期处置工作。各</w:t>
      </w:r>
      <w:r>
        <w:rPr>
          <w:rFonts w:hint="eastAsia" w:ascii="仿宋_GB2312" w:hAnsi="仿宋_GB2312" w:eastAsia="仿宋_GB2312" w:cs="仿宋_GB2312"/>
          <w:color w:val="000000" w:themeColor="text1"/>
          <w:sz w:val="32"/>
          <w:szCs w:val="32"/>
          <w:lang w:eastAsia="zh-CN"/>
          <w14:textFill>
            <w14:solidFill>
              <w14:schemeClr w14:val="tx1"/>
            </w14:solidFill>
          </w14:textFill>
        </w:rPr>
        <w:t>街道办事处</w:t>
      </w:r>
      <w:r>
        <w:rPr>
          <w:rFonts w:hint="eastAsia" w:ascii="仿宋_GB2312" w:hAnsi="仿宋_GB2312" w:eastAsia="仿宋_GB2312" w:cs="仿宋_GB2312"/>
          <w:color w:val="000000" w:themeColor="text1"/>
          <w:sz w:val="32"/>
          <w:szCs w:val="32"/>
          <w14:textFill>
            <w14:solidFill>
              <w14:schemeClr w14:val="tx1"/>
            </w14:solidFill>
          </w14:textFill>
        </w:rPr>
        <w:t>指挥部成员单位可参照</w:t>
      </w:r>
      <w:r>
        <w:rPr>
          <w:rFonts w:hint="eastAsia" w:ascii="仿宋_GB2312" w:hAnsi="仿宋_GB2312" w:eastAsia="仿宋_GB2312" w:cs="仿宋_GB2312"/>
          <w:color w:val="000000" w:themeColor="text1"/>
          <w:sz w:val="32"/>
          <w:szCs w:val="32"/>
          <w:lang w:eastAsia="zh-CN"/>
          <w14:textFill>
            <w14:solidFill>
              <w14:schemeClr w14:val="tx1"/>
            </w14:solidFill>
          </w14:textFill>
        </w:rPr>
        <w:t>区一般</w:t>
      </w:r>
      <w:r>
        <w:rPr>
          <w:rFonts w:hint="eastAsia" w:ascii="仿宋_GB2312" w:hAnsi="仿宋_GB2312" w:eastAsia="仿宋_GB2312" w:cs="仿宋_GB2312"/>
          <w:color w:val="000000" w:themeColor="text1"/>
          <w:sz w:val="32"/>
          <w:szCs w:val="32"/>
          <w14:textFill>
            <w14:solidFill>
              <w14:schemeClr w14:val="tx1"/>
            </w14:solidFill>
          </w14:textFill>
        </w:rPr>
        <w:t>食品安全事故应急处置指挥部成员单位确定。</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3.应急保障</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3</w:t>
      </w:r>
      <w:r>
        <w:rPr>
          <w:rFonts w:hint="eastAsia" w:ascii="楷体_GB2312" w:hAnsi="楷体_GB2312" w:eastAsia="楷体_GB2312" w:cs="楷体_GB2312"/>
          <w:sz w:val="32"/>
          <w:szCs w:val="32"/>
          <w:lang w:val="en-US" w:eastAsia="zh-CN"/>
        </w:rPr>
        <w:t>.</w:t>
      </w:r>
      <w:r>
        <w:rPr>
          <w:rFonts w:hint="eastAsia" w:ascii="楷体_GB2312" w:hAnsi="楷体_GB2312" w:eastAsia="楷体_GB2312" w:cs="楷体_GB2312"/>
          <w:sz w:val="32"/>
          <w:szCs w:val="32"/>
        </w:rPr>
        <w:t>1信息保障</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聊城经济技术开发区市场监督管理部（区</w:t>
      </w:r>
      <w:r>
        <w:rPr>
          <w:rFonts w:hint="eastAsia" w:ascii="仿宋_GB2312" w:hAnsi="仿宋_GB2312" w:eastAsia="仿宋_GB2312" w:cs="仿宋_GB2312"/>
          <w:sz w:val="32"/>
          <w:szCs w:val="32"/>
        </w:rPr>
        <w:t>食</w:t>
      </w:r>
      <w:r>
        <w:rPr>
          <w:rFonts w:hint="eastAsia" w:ascii="仿宋_GB2312" w:hAnsi="仿宋_GB2312" w:eastAsia="仿宋_GB2312" w:cs="仿宋_GB2312"/>
          <w:sz w:val="32"/>
          <w:szCs w:val="32"/>
          <w:lang w:eastAsia="zh-CN"/>
        </w:rPr>
        <w:t>药</w:t>
      </w:r>
      <w:r>
        <w:rPr>
          <w:rFonts w:hint="eastAsia" w:ascii="仿宋_GB2312" w:hAnsi="仿宋_GB2312" w:eastAsia="仿宋_GB2312" w:cs="仿宋_GB2312"/>
          <w:sz w:val="32"/>
          <w:szCs w:val="32"/>
        </w:rPr>
        <w:t>安办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会同有关部门建立全</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统一的食品安全信息网络体系，包含食品安全监测、事故报告与通报、食品安全事故隐患预警等内容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建立健全医疗救治信息网络，实现信息共享。</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有关部门应当建立食品安全信息报告和群众举报投诉制度，</w:t>
      </w:r>
      <w:r>
        <w:rPr>
          <w:rFonts w:hint="eastAsia" w:ascii="仿宋_GB2312" w:hAnsi="仿宋_GB2312" w:eastAsia="仿宋_GB2312" w:cs="仿宋_GB2312"/>
          <w:sz w:val="32"/>
          <w:szCs w:val="32"/>
          <w:lang w:eastAsia="zh-CN"/>
        </w:rPr>
        <w:t>设立信息报告和举报电话，畅通信息报告渠道，确保食品安全事故</w:t>
      </w:r>
      <w:r>
        <w:rPr>
          <w:rFonts w:hint="eastAsia" w:ascii="仿宋_GB2312" w:hAnsi="仿宋_GB2312" w:eastAsia="仿宋_GB2312" w:cs="仿宋_GB2312"/>
          <w:sz w:val="32"/>
          <w:szCs w:val="32"/>
        </w:rPr>
        <w:t>的及时报告与相关信息的及时收集。</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3.2医疗保障</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卫健管理办公室</w:t>
      </w:r>
      <w:r>
        <w:rPr>
          <w:rFonts w:hint="eastAsia" w:ascii="仿宋_GB2312" w:hAnsi="仿宋_GB2312" w:eastAsia="仿宋_GB2312" w:cs="仿宋_GB2312"/>
          <w:sz w:val="32"/>
          <w:szCs w:val="32"/>
        </w:rPr>
        <w:t>应当建立功能完善、反应灵敏、运转协调、持续发展的医疗救治体系，在食品安全事故造成人员伤害时迅速开展医疗救治。</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3.3人员和技术保障</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急处置专业技术机构要结合本机构职责开展专业技术人员食品安全事故应急处置能力培训，加强应急处置能力建设，提高快速应对能力和技术水平，健全专家队伍，为事故核实、级别核定、事故隐患预警及应急响应等相关技术工作提供人才保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有关部门要加强食品安全事故监测、预警、预防和应急处置等技术研发，为食品安全事故应急处置提供技术保障。</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3.4物资和经费保障</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食品安全事故应急处置所需设施、设备和物资的储备与调用应当得到保障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使用储备物资后须及时补充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食品安全事故应急处置、产品抽样及检验所需经费列入同级政府年度财政预算，保障应急资金。</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3.5社会动员保障</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根据食品安全事故应急处置的需要，动员和组织社会力量协助参与应急处置，必要时依法调用企业及个人物资。在动用社会力量或企业、个人物资进行应急处置后，应当及时归还或给予补偿。</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3.6宣教培训</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有关部门应当加强对食品安全专业人员、食品</w:t>
      </w:r>
      <w:r>
        <w:rPr>
          <w:rFonts w:hint="eastAsia" w:ascii="仿宋_GB2312" w:hAnsi="仿宋_GB2312" w:eastAsia="仿宋_GB2312" w:cs="仿宋_GB2312"/>
          <w:sz w:val="32"/>
          <w:szCs w:val="32"/>
          <w:lang w:eastAsia="zh-CN"/>
        </w:rPr>
        <w:t>生产</w:t>
      </w:r>
      <w:r>
        <w:rPr>
          <w:rFonts w:hint="eastAsia" w:ascii="仿宋_GB2312" w:hAnsi="仿宋_GB2312" w:eastAsia="仿宋_GB2312" w:cs="仿宋_GB2312"/>
          <w:sz w:val="32"/>
          <w:szCs w:val="32"/>
        </w:rPr>
        <w:t>经营者及广大消费者的食品安全知识宣传、教育与培训，促进专业人员掌握食品安全相关工作技能，增强食品生产经营者的责任意识，</w:t>
      </w:r>
      <w:r>
        <w:rPr>
          <w:rFonts w:hint="eastAsia" w:ascii="仿宋_GB2312" w:hAnsi="仿宋_GB2312" w:eastAsia="仿宋_GB2312" w:cs="仿宋_GB2312"/>
          <w:sz w:val="32"/>
          <w:szCs w:val="32"/>
          <w:lang w:eastAsia="zh-CN"/>
        </w:rPr>
        <w:t>增强</w:t>
      </w:r>
      <w:r>
        <w:rPr>
          <w:rFonts w:hint="eastAsia" w:ascii="仿宋_GB2312" w:hAnsi="仿宋_GB2312" w:eastAsia="仿宋_GB2312" w:cs="仿宋_GB2312"/>
          <w:sz w:val="32"/>
          <w:szCs w:val="32"/>
        </w:rPr>
        <w:t>消费者的风险意识和防范能力。各级政府应建立健全食品安全事故应急管理培训制度，加强对各级、各部门领导干部和监管人员的培训教育，提高应对突发事件的决策和处置能力。</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4.监测预警、报告与评估</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4.1监测预警</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卫健管理办公室</w:t>
      </w:r>
      <w:r>
        <w:rPr>
          <w:rFonts w:hint="eastAsia" w:ascii="仿宋_GB2312" w:hAnsi="仿宋_GB2312" w:eastAsia="仿宋_GB2312" w:cs="仿宋_GB2312"/>
          <w:sz w:val="32"/>
          <w:szCs w:val="32"/>
        </w:rPr>
        <w:t>应会同</w:t>
      </w:r>
      <w:r>
        <w:rPr>
          <w:rFonts w:hint="eastAsia" w:ascii="仿宋_GB2312" w:hAnsi="仿宋_GB2312" w:eastAsia="仿宋_GB2312" w:cs="仿宋_GB2312"/>
          <w:sz w:val="32"/>
          <w:szCs w:val="32"/>
          <w:lang w:eastAsia="zh-CN"/>
        </w:rPr>
        <w:t>市场监督管理部（区</w:t>
      </w:r>
      <w:r>
        <w:rPr>
          <w:rFonts w:hint="eastAsia" w:ascii="仿宋_GB2312" w:hAnsi="仿宋_GB2312" w:eastAsia="仿宋_GB2312" w:cs="仿宋_GB2312"/>
          <w:sz w:val="32"/>
          <w:szCs w:val="32"/>
        </w:rPr>
        <w:t>食</w:t>
      </w:r>
      <w:r>
        <w:rPr>
          <w:rFonts w:hint="eastAsia" w:ascii="仿宋_GB2312" w:hAnsi="仿宋_GB2312" w:eastAsia="仿宋_GB2312" w:cs="仿宋_GB2312"/>
          <w:sz w:val="32"/>
          <w:szCs w:val="32"/>
          <w:lang w:eastAsia="zh-CN"/>
        </w:rPr>
        <w:t>药</w:t>
      </w:r>
      <w:r>
        <w:rPr>
          <w:rFonts w:hint="eastAsia" w:ascii="仿宋_GB2312" w:hAnsi="仿宋_GB2312" w:eastAsia="仿宋_GB2312" w:cs="仿宋_GB2312"/>
          <w:sz w:val="32"/>
          <w:szCs w:val="32"/>
        </w:rPr>
        <w:t>安办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等有关部门根据国家、省</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食品安全风险监测计划，结合我</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实际，组织制定、实施食品安全监测方案。建立覆盖全</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的食源性疾病、食品污染和食品中有害因素检测体系。卫健</w:t>
      </w:r>
      <w:r>
        <w:rPr>
          <w:rFonts w:hint="eastAsia" w:ascii="仿宋_GB2312" w:hAnsi="仿宋_GB2312" w:eastAsia="仿宋_GB2312" w:cs="仿宋_GB2312"/>
          <w:sz w:val="32"/>
          <w:szCs w:val="32"/>
          <w:lang w:eastAsia="zh-CN"/>
        </w:rPr>
        <w:t>办公室</w:t>
      </w:r>
      <w:r>
        <w:rPr>
          <w:rFonts w:hint="eastAsia" w:ascii="仿宋_GB2312" w:hAnsi="仿宋_GB2312" w:eastAsia="仿宋_GB2312" w:cs="仿宋_GB2312"/>
          <w:sz w:val="32"/>
          <w:szCs w:val="32"/>
        </w:rPr>
        <w:t>根据食品安全风险监测结果，对食品安全状况进行综合分析，对可能具有较高程度安全风险的食品，提出并公布食品安全风险警示信息。有关监管部门发现食品安全隐患或问题，应及时通报同级政府市场监管</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卫健管理部门</w:t>
      </w:r>
      <w:r>
        <w:rPr>
          <w:rFonts w:hint="eastAsia" w:ascii="仿宋_GB2312" w:hAnsi="仿宋_GB2312" w:eastAsia="仿宋_GB2312" w:cs="仿宋_GB2312"/>
          <w:sz w:val="32"/>
          <w:szCs w:val="32"/>
        </w:rPr>
        <w:t>等相关职能部门以及有关方面，依法及时采取有效控制措施。</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4.2事故报告</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4.2.1责任报告主体</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发生食品安全事故的相关单位</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医疗卫生机构</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食品检验检测机构</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食品监管相关部门</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食品生产经营者、消费者等</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世界卫生组织等国际机构、其他国家和地区通报我</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的接报单位</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其他获悉食品安全事故信息的公民、法人或者社会组织。</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4.2.2报告程序和时限</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食品生产经营者发现其生产经营的食品造成或者可能造成公众健康损害的情况和信息，</w:t>
      </w:r>
      <w:r>
        <w:rPr>
          <w:rFonts w:hint="eastAsia" w:ascii="仿宋_GB2312" w:hAnsi="仿宋_GB2312" w:eastAsia="仿宋_GB2312" w:cs="仿宋_GB2312"/>
          <w:color w:val="auto"/>
          <w:sz w:val="32"/>
          <w:szCs w:val="32"/>
        </w:rPr>
        <w:t>应当在2小时内向</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市场监管部</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食</w:t>
      </w:r>
      <w:r>
        <w:rPr>
          <w:rFonts w:hint="eastAsia" w:ascii="仿宋_GB2312" w:hAnsi="仿宋_GB2312" w:eastAsia="仿宋_GB2312" w:cs="仿宋_GB2312"/>
          <w:color w:val="auto"/>
          <w:sz w:val="32"/>
          <w:szCs w:val="32"/>
          <w:lang w:eastAsia="zh-CN"/>
        </w:rPr>
        <w:t>药</w:t>
      </w:r>
      <w:r>
        <w:rPr>
          <w:rFonts w:hint="eastAsia" w:ascii="仿宋_GB2312" w:hAnsi="仿宋_GB2312" w:eastAsia="仿宋_GB2312" w:cs="仿宋_GB2312"/>
          <w:color w:val="auto"/>
          <w:sz w:val="32"/>
          <w:szCs w:val="32"/>
        </w:rPr>
        <w:t>安办</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和负责本单位食品安全监管工作的有关部门报告。</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发生可能与食品有关的急性群体性健康损害的单位，应当在2小时内向</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市场监管</w:t>
      </w:r>
      <w:r>
        <w:rPr>
          <w:rFonts w:hint="eastAsia" w:ascii="仿宋_GB2312" w:hAnsi="仿宋_GB2312" w:eastAsia="仿宋_GB2312" w:cs="仿宋_GB2312"/>
          <w:color w:val="auto"/>
          <w:sz w:val="32"/>
          <w:szCs w:val="32"/>
          <w:lang w:eastAsia="zh-CN"/>
        </w:rPr>
        <w:t>部（区</w:t>
      </w:r>
      <w:r>
        <w:rPr>
          <w:rFonts w:hint="eastAsia" w:ascii="仿宋_GB2312" w:hAnsi="仿宋_GB2312" w:eastAsia="仿宋_GB2312" w:cs="仿宋_GB2312"/>
          <w:color w:val="auto"/>
          <w:sz w:val="32"/>
          <w:szCs w:val="32"/>
        </w:rPr>
        <w:t>食</w:t>
      </w:r>
      <w:r>
        <w:rPr>
          <w:rFonts w:hint="eastAsia" w:ascii="仿宋_GB2312" w:hAnsi="仿宋_GB2312" w:eastAsia="仿宋_GB2312" w:cs="仿宋_GB2312"/>
          <w:color w:val="auto"/>
          <w:sz w:val="32"/>
          <w:szCs w:val="32"/>
          <w:lang w:eastAsia="zh-CN"/>
        </w:rPr>
        <w:t>药</w:t>
      </w:r>
      <w:r>
        <w:rPr>
          <w:rFonts w:hint="eastAsia" w:ascii="仿宋_GB2312" w:hAnsi="仿宋_GB2312" w:eastAsia="仿宋_GB2312" w:cs="仿宋_GB2312"/>
          <w:color w:val="auto"/>
          <w:sz w:val="32"/>
          <w:szCs w:val="32"/>
        </w:rPr>
        <w:t>安办</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卫健管理办公室</w:t>
      </w:r>
      <w:r>
        <w:rPr>
          <w:rFonts w:hint="eastAsia" w:ascii="仿宋_GB2312" w:hAnsi="仿宋_GB2312" w:eastAsia="仿宋_GB2312" w:cs="仿宋_GB2312"/>
          <w:color w:val="auto"/>
          <w:sz w:val="32"/>
          <w:szCs w:val="32"/>
        </w:rPr>
        <w:t>报告。</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接收食品安全事故病人治疗的单位，应当及时向</w:t>
      </w:r>
      <w:r>
        <w:rPr>
          <w:rFonts w:hint="eastAsia" w:ascii="仿宋_GB2312" w:hAnsi="仿宋_GB2312" w:eastAsia="仿宋_GB2312" w:cs="仿宋_GB2312"/>
          <w:sz w:val="32"/>
          <w:szCs w:val="32"/>
          <w:lang w:eastAsia="zh-CN"/>
        </w:rPr>
        <w:t>区市场监管部（区</w:t>
      </w:r>
      <w:r>
        <w:rPr>
          <w:rFonts w:hint="eastAsia" w:ascii="仿宋_GB2312" w:hAnsi="仿宋_GB2312" w:eastAsia="仿宋_GB2312" w:cs="仿宋_GB2312"/>
          <w:sz w:val="32"/>
          <w:szCs w:val="32"/>
        </w:rPr>
        <w:t>食</w:t>
      </w:r>
      <w:r>
        <w:rPr>
          <w:rFonts w:hint="eastAsia" w:ascii="仿宋_GB2312" w:hAnsi="仿宋_GB2312" w:eastAsia="仿宋_GB2312" w:cs="仿宋_GB2312"/>
          <w:sz w:val="32"/>
          <w:szCs w:val="32"/>
          <w:lang w:eastAsia="zh-CN"/>
        </w:rPr>
        <w:t>药</w:t>
      </w:r>
      <w:r>
        <w:rPr>
          <w:rFonts w:hint="eastAsia" w:ascii="仿宋_GB2312" w:hAnsi="仿宋_GB2312" w:eastAsia="仿宋_GB2312" w:cs="仿宋_GB2312"/>
          <w:sz w:val="32"/>
          <w:szCs w:val="32"/>
        </w:rPr>
        <w:t>安办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卫健管理办公室</w:t>
      </w:r>
      <w:r>
        <w:rPr>
          <w:rFonts w:hint="eastAsia" w:ascii="仿宋_GB2312" w:hAnsi="仿宋_GB2312" w:eastAsia="仿宋_GB2312" w:cs="仿宋_GB2312"/>
          <w:sz w:val="32"/>
          <w:szCs w:val="32"/>
        </w:rPr>
        <w:t>报告。医疗机构发现其接收的病人属于食源性疾病病人或疑似病人的，应当按照规定及时将相关信息向</w:t>
      </w:r>
      <w:r>
        <w:rPr>
          <w:rFonts w:hint="eastAsia" w:ascii="仿宋_GB2312" w:hAnsi="仿宋_GB2312" w:eastAsia="仿宋_GB2312" w:cs="仿宋_GB2312"/>
          <w:sz w:val="32"/>
          <w:szCs w:val="32"/>
          <w:lang w:eastAsia="zh-CN"/>
        </w:rPr>
        <w:t>卫健管理办公室</w:t>
      </w:r>
      <w:r>
        <w:rPr>
          <w:rFonts w:hint="eastAsia" w:ascii="仿宋_GB2312" w:hAnsi="仿宋_GB2312" w:eastAsia="仿宋_GB2312" w:cs="仿宋_GB2312"/>
          <w:sz w:val="32"/>
          <w:szCs w:val="32"/>
        </w:rPr>
        <w:t>报告。</w:t>
      </w:r>
      <w:r>
        <w:rPr>
          <w:rFonts w:hint="eastAsia" w:ascii="仿宋_GB2312" w:hAnsi="仿宋_GB2312" w:eastAsia="仿宋_GB2312" w:cs="仿宋_GB2312"/>
          <w:sz w:val="32"/>
          <w:szCs w:val="32"/>
          <w:lang w:eastAsia="zh-CN"/>
        </w:rPr>
        <w:t>卫健管理办公室</w:t>
      </w:r>
      <w:r>
        <w:rPr>
          <w:rFonts w:hint="eastAsia" w:ascii="仿宋_GB2312" w:hAnsi="仿宋_GB2312" w:eastAsia="仿宋_GB2312" w:cs="仿宋_GB2312"/>
          <w:sz w:val="32"/>
          <w:szCs w:val="32"/>
        </w:rPr>
        <w:t>认为与食品安全有关的，应当及时通报同级市场监管部门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食</w:t>
      </w:r>
      <w:r>
        <w:rPr>
          <w:rFonts w:hint="eastAsia" w:ascii="仿宋_GB2312" w:hAnsi="仿宋_GB2312" w:eastAsia="仿宋_GB2312" w:cs="仿宋_GB2312"/>
          <w:sz w:val="32"/>
          <w:szCs w:val="32"/>
          <w:lang w:eastAsia="zh-CN"/>
        </w:rPr>
        <w:t>药</w:t>
      </w:r>
      <w:r>
        <w:rPr>
          <w:rFonts w:hint="eastAsia" w:ascii="仿宋_GB2312" w:hAnsi="仿宋_GB2312" w:eastAsia="仿宋_GB2312" w:cs="仿宋_GB2312"/>
          <w:sz w:val="32"/>
          <w:szCs w:val="32"/>
        </w:rPr>
        <w:t>安办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卫健管理办公室</w:t>
      </w:r>
      <w:r>
        <w:rPr>
          <w:rFonts w:hint="eastAsia" w:ascii="仿宋_GB2312" w:hAnsi="仿宋_GB2312" w:eastAsia="仿宋_GB2312" w:cs="仿宋_GB2312"/>
          <w:sz w:val="32"/>
          <w:szCs w:val="32"/>
        </w:rPr>
        <w:t>在调查处理传染病或其他突发公共卫生事件中发现与食品安全相关的信息，应当及时通报同级市场监管部门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食</w:t>
      </w:r>
      <w:r>
        <w:rPr>
          <w:rFonts w:hint="eastAsia" w:ascii="仿宋_GB2312" w:hAnsi="仿宋_GB2312" w:eastAsia="仿宋_GB2312" w:cs="仿宋_GB2312"/>
          <w:sz w:val="32"/>
          <w:szCs w:val="32"/>
          <w:lang w:eastAsia="zh-CN"/>
        </w:rPr>
        <w:t>药</w:t>
      </w:r>
      <w:r>
        <w:rPr>
          <w:rFonts w:hint="eastAsia" w:ascii="仿宋_GB2312" w:hAnsi="仿宋_GB2312" w:eastAsia="仿宋_GB2312" w:cs="仿宋_GB2312"/>
          <w:sz w:val="32"/>
          <w:szCs w:val="32"/>
        </w:rPr>
        <w:t>安办</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食品安全相关技术机构、有关社会团体及个人发现食品安全事故相关情况，应当及时向</w:t>
      </w:r>
      <w:r>
        <w:rPr>
          <w:rFonts w:hint="eastAsia" w:ascii="仿宋_GB2312" w:hAnsi="仿宋_GB2312" w:eastAsia="仿宋_GB2312" w:cs="仿宋_GB2312"/>
          <w:sz w:val="32"/>
          <w:szCs w:val="32"/>
          <w:lang w:eastAsia="zh-CN"/>
        </w:rPr>
        <w:t>市场监督管理部及卫健管理办公室</w:t>
      </w:r>
      <w:r>
        <w:rPr>
          <w:rFonts w:hint="eastAsia" w:ascii="仿宋_GB2312" w:hAnsi="仿宋_GB2312" w:eastAsia="仿宋_GB2312" w:cs="仿宋_GB2312"/>
          <w:sz w:val="32"/>
          <w:szCs w:val="32"/>
        </w:rPr>
        <w:t>报告或举报。</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有关监管部门发现食品安全事故或接到食品安全事故报告或举报，应当立即通报同级市场监管部门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食</w:t>
      </w:r>
      <w:r>
        <w:rPr>
          <w:rFonts w:hint="eastAsia" w:ascii="仿宋_GB2312" w:hAnsi="仿宋_GB2312" w:eastAsia="仿宋_GB2312" w:cs="仿宋_GB2312"/>
          <w:sz w:val="32"/>
          <w:szCs w:val="32"/>
          <w:lang w:eastAsia="zh-CN"/>
        </w:rPr>
        <w:t>药</w:t>
      </w:r>
      <w:r>
        <w:rPr>
          <w:rFonts w:hint="eastAsia" w:ascii="仿宋_GB2312" w:hAnsi="仿宋_GB2312" w:eastAsia="仿宋_GB2312" w:cs="仿宋_GB2312"/>
          <w:sz w:val="32"/>
          <w:szCs w:val="32"/>
        </w:rPr>
        <w:t>安办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和其他有关部门。经初步核实后，要继续搜集相关信息，并及时将有关情况向同级市场监管部门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食</w:t>
      </w:r>
      <w:r>
        <w:rPr>
          <w:rFonts w:hint="eastAsia" w:ascii="仿宋_GB2312" w:hAnsi="仿宋_GB2312" w:eastAsia="仿宋_GB2312" w:cs="仿宋_GB2312"/>
          <w:sz w:val="32"/>
          <w:szCs w:val="32"/>
          <w:lang w:eastAsia="zh-CN"/>
        </w:rPr>
        <w:t>药</w:t>
      </w:r>
      <w:r>
        <w:rPr>
          <w:rFonts w:hint="eastAsia" w:ascii="仿宋_GB2312" w:hAnsi="仿宋_GB2312" w:eastAsia="仿宋_GB2312" w:cs="仿宋_GB2312"/>
          <w:sz w:val="32"/>
          <w:szCs w:val="32"/>
        </w:rPr>
        <w:t>安办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和其他有关部门通报。</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6</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经初步核实为食品安全事故且需要启动应急响应的，市场监管部</w:t>
      </w:r>
      <w:r>
        <w:rPr>
          <w:rFonts w:hint="eastAsia" w:ascii="仿宋_GB2312" w:hAnsi="仿宋_GB2312" w:eastAsia="仿宋_GB2312" w:cs="仿宋_GB2312"/>
          <w:color w:val="000000" w:themeColor="text1"/>
          <w:sz w:val="32"/>
          <w:szCs w:val="32"/>
          <w:lang w:eastAsia="zh-CN"/>
          <w14:textFill>
            <w14:solidFill>
              <w14:schemeClr w14:val="tx1"/>
            </w14:solidFill>
          </w14:textFill>
        </w:rPr>
        <w:t>门（</w:t>
      </w:r>
      <w:r>
        <w:rPr>
          <w:rFonts w:hint="eastAsia" w:ascii="仿宋_GB2312" w:hAnsi="仿宋_GB2312" w:eastAsia="仿宋_GB2312" w:cs="仿宋_GB2312"/>
          <w:color w:val="000000" w:themeColor="text1"/>
          <w:sz w:val="32"/>
          <w:szCs w:val="32"/>
          <w14:textFill>
            <w14:solidFill>
              <w14:schemeClr w14:val="tx1"/>
            </w14:solidFill>
          </w14:textFill>
        </w:rPr>
        <w:t>食</w:t>
      </w:r>
      <w:r>
        <w:rPr>
          <w:rFonts w:hint="eastAsia" w:ascii="仿宋_GB2312" w:hAnsi="仿宋_GB2312" w:eastAsia="仿宋_GB2312" w:cs="仿宋_GB2312"/>
          <w:color w:val="000000" w:themeColor="text1"/>
          <w:sz w:val="32"/>
          <w:szCs w:val="32"/>
          <w:lang w:eastAsia="zh-CN"/>
          <w14:textFill>
            <w14:solidFill>
              <w14:schemeClr w14:val="tx1"/>
            </w14:solidFill>
          </w14:textFill>
        </w:rPr>
        <w:t>药</w:t>
      </w:r>
      <w:r>
        <w:rPr>
          <w:rFonts w:hint="eastAsia" w:ascii="仿宋_GB2312" w:hAnsi="仿宋_GB2312" w:eastAsia="仿宋_GB2312" w:cs="仿宋_GB2312"/>
          <w:color w:val="000000" w:themeColor="text1"/>
          <w:sz w:val="32"/>
          <w:szCs w:val="32"/>
          <w14:textFill>
            <w14:solidFill>
              <w14:schemeClr w14:val="tx1"/>
            </w14:solidFill>
          </w14:textFill>
        </w:rPr>
        <w:t>安办</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应当按规定的时限向本级人民政府及上级市场监管部门</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食</w:t>
      </w:r>
      <w:r>
        <w:rPr>
          <w:rFonts w:hint="eastAsia" w:ascii="仿宋_GB2312" w:hAnsi="仿宋_GB2312" w:eastAsia="仿宋_GB2312" w:cs="仿宋_GB2312"/>
          <w:color w:val="000000" w:themeColor="text1"/>
          <w:sz w:val="32"/>
          <w:szCs w:val="32"/>
          <w:lang w:eastAsia="zh-CN"/>
          <w14:textFill>
            <w14:solidFill>
              <w14:schemeClr w14:val="tx1"/>
            </w14:solidFill>
          </w14:textFill>
        </w:rPr>
        <w:t>药</w:t>
      </w:r>
      <w:r>
        <w:rPr>
          <w:rFonts w:hint="eastAsia" w:ascii="仿宋_GB2312" w:hAnsi="仿宋_GB2312" w:eastAsia="仿宋_GB2312" w:cs="仿宋_GB2312"/>
          <w:color w:val="000000" w:themeColor="text1"/>
          <w:sz w:val="32"/>
          <w:szCs w:val="32"/>
          <w14:textFill>
            <w14:solidFill>
              <w14:schemeClr w14:val="tx1"/>
            </w14:solidFill>
          </w14:textFill>
        </w:rPr>
        <w:t>安办</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报告。对I级、Ⅱ级、Ⅲ级</w:t>
      </w:r>
      <w:r>
        <w:rPr>
          <w:rFonts w:hint="eastAsia" w:ascii="仿宋_GB2312" w:hAnsi="仿宋_GB2312" w:eastAsia="仿宋_GB2312" w:cs="仿宋_GB2312"/>
          <w:color w:val="000000" w:themeColor="text1"/>
          <w:sz w:val="32"/>
          <w:szCs w:val="32"/>
          <w:lang w:eastAsia="zh-CN"/>
          <w14:textFill>
            <w14:solidFill>
              <w14:schemeClr w14:val="tx1"/>
            </w14:solidFill>
          </w14:textFill>
        </w:rPr>
        <w:t>和Ⅳ级</w:t>
      </w:r>
      <w:r>
        <w:rPr>
          <w:rFonts w:hint="eastAsia" w:ascii="仿宋_GB2312" w:hAnsi="仿宋_GB2312" w:eastAsia="仿宋_GB2312" w:cs="仿宋_GB2312"/>
          <w:color w:val="000000" w:themeColor="text1"/>
          <w:sz w:val="32"/>
          <w:szCs w:val="32"/>
          <w14:textFill>
            <w14:solidFill>
              <w14:schemeClr w14:val="tx1"/>
            </w14:solidFill>
          </w14:textFill>
        </w:rPr>
        <w:t>食品安全事故，</w:t>
      </w:r>
      <w:r>
        <w:rPr>
          <w:rFonts w:hint="eastAsia" w:ascii="仿宋_GB2312" w:hAnsi="仿宋_GB2312" w:eastAsia="仿宋_GB2312" w:cs="仿宋_GB2312"/>
          <w:color w:val="000000" w:themeColor="text1"/>
          <w:sz w:val="32"/>
          <w:szCs w:val="32"/>
          <w:lang w:eastAsia="zh-CN"/>
          <w14:textFill>
            <w14:solidFill>
              <w14:schemeClr w14:val="tx1"/>
            </w14:solidFill>
          </w14:textFill>
        </w:rPr>
        <w:t>聊城经济技术开发区管委会</w:t>
      </w:r>
      <w:r>
        <w:rPr>
          <w:rFonts w:hint="eastAsia" w:ascii="仿宋_GB2312" w:hAnsi="仿宋_GB2312" w:eastAsia="仿宋_GB2312" w:cs="仿宋_GB2312"/>
          <w:color w:val="000000" w:themeColor="text1"/>
          <w:sz w:val="32"/>
          <w:szCs w:val="32"/>
          <w14:textFill>
            <w14:solidFill>
              <w14:schemeClr w14:val="tx1"/>
            </w14:solidFill>
          </w14:textFill>
        </w:rPr>
        <w:t>应按规定向</w:t>
      </w:r>
      <w:r>
        <w:rPr>
          <w:rFonts w:hint="eastAsia" w:ascii="仿宋_GB2312" w:hAnsi="仿宋_GB2312" w:eastAsia="仿宋_GB2312" w:cs="仿宋_GB2312"/>
          <w:color w:val="000000" w:themeColor="text1"/>
          <w:sz w:val="32"/>
          <w:szCs w:val="32"/>
          <w:lang w:eastAsia="zh-CN"/>
          <w14:textFill>
            <w14:solidFill>
              <w14:schemeClr w14:val="tx1"/>
            </w14:solidFill>
          </w14:textFill>
        </w:rPr>
        <w:t>市</w:t>
      </w:r>
      <w:r>
        <w:rPr>
          <w:rFonts w:hint="eastAsia" w:ascii="仿宋_GB2312" w:hAnsi="仿宋_GB2312" w:eastAsia="仿宋_GB2312" w:cs="仿宋_GB2312"/>
          <w:color w:val="000000" w:themeColor="text1"/>
          <w:sz w:val="32"/>
          <w:szCs w:val="32"/>
          <w14:textFill>
            <w14:solidFill>
              <w14:schemeClr w14:val="tx1"/>
            </w14:solidFill>
          </w14:textFill>
        </w:rPr>
        <w:t>政府报告。对I级、Ⅱ级食品安全事故的首报信息，采取信息直报方式，市场监管部</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食</w:t>
      </w:r>
      <w:r>
        <w:rPr>
          <w:rFonts w:hint="eastAsia" w:ascii="仿宋_GB2312" w:hAnsi="仿宋_GB2312" w:eastAsia="仿宋_GB2312" w:cs="仿宋_GB2312"/>
          <w:color w:val="000000" w:themeColor="text1"/>
          <w:sz w:val="32"/>
          <w:szCs w:val="32"/>
          <w:lang w:eastAsia="zh-CN"/>
          <w14:textFill>
            <w14:solidFill>
              <w14:schemeClr w14:val="tx1"/>
            </w14:solidFill>
          </w14:textFill>
        </w:rPr>
        <w:t>药</w:t>
      </w:r>
      <w:r>
        <w:rPr>
          <w:rFonts w:hint="eastAsia" w:ascii="仿宋_GB2312" w:hAnsi="仿宋_GB2312" w:eastAsia="仿宋_GB2312" w:cs="仿宋_GB2312"/>
          <w:color w:val="000000" w:themeColor="text1"/>
          <w:sz w:val="32"/>
          <w:szCs w:val="32"/>
          <w14:textFill>
            <w14:solidFill>
              <w14:schemeClr w14:val="tx1"/>
            </w14:solidFill>
          </w14:textFill>
        </w:rPr>
        <w:t>安办</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应在2小时内向</w:t>
      </w:r>
      <w:r>
        <w:rPr>
          <w:rFonts w:hint="eastAsia" w:ascii="仿宋_GB2312" w:hAnsi="仿宋_GB2312" w:eastAsia="仿宋_GB2312" w:cs="仿宋_GB2312"/>
          <w:color w:val="000000" w:themeColor="text1"/>
          <w:sz w:val="32"/>
          <w:szCs w:val="32"/>
          <w:lang w:eastAsia="zh-CN"/>
          <w14:textFill>
            <w14:solidFill>
              <w14:schemeClr w14:val="tx1"/>
            </w14:solidFill>
          </w14:textFill>
        </w:rPr>
        <w:t>山东省</w:t>
      </w:r>
      <w:r>
        <w:rPr>
          <w:rFonts w:hint="eastAsia" w:ascii="仿宋_GB2312" w:hAnsi="仿宋_GB2312" w:eastAsia="仿宋_GB2312" w:cs="仿宋_GB2312"/>
          <w:color w:val="000000" w:themeColor="text1"/>
          <w:sz w:val="32"/>
          <w:szCs w:val="32"/>
          <w14:textFill>
            <w14:solidFill>
              <w14:schemeClr w14:val="tx1"/>
            </w14:solidFill>
          </w14:textFill>
        </w:rPr>
        <w:t>市场监管</w:t>
      </w:r>
      <w:r>
        <w:rPr>
          <w:rFonts w:hint="eastAsia" w:ascii="仿宋_GB2312" w:hAnsi="仿宋_GB2312" w:eastAsia="仿宋_GB2312" w:cs="仿宋_GB2312"/>
          <w:color w:val="000000" w:themeColor="text1"/>
          <w:sz w:val="32"/>
          <w:szCs w:val="32"/>
          <w:lang w:eastAsia="zh-CN"/>
          <w14:textFill>
            <w14:solidFill>
              <w14:schemeClr w14:val="tx1"/>
            </w14:solidFill>
          </w14:textFill>
        </w:rPr>
        <w:t>局（省</w:t>
      </w:r>
      <w:r>
        <w:rPr>
          <w:rFonts w:hint="eastAsia" w:ascii="仿宋_GB2312" w:hAnsi="仿宋_GB2312" w:eastAsia="仿宋_GB2312" w:cs="仿宋_GB2312"/>
          <w:color w:val="000000" w:themeColor="text1"/>
          <w:sz w:val="32"/>
          <w:szCs w:val="32"/>
          <w14:textFill>
            <w14:solidFill>
              <w14:schemeClr w14:val="tx1"/>
            </w14:solidFill>
          </w14:textFill>
        </w:rPr>
        <w:t>食</w:t>
      </w:r>
      <w:r>
        <w:rPr>
          <w:rFonts w:hint="eastAsia" w:ascii="仿宋_GB2312" w:hAnsi="仿宋_GB2312" w:eastAsia="仿宋_GB2312" w:cs="仿宋_GB2312"/>
          <w:color w:val="000000" w:themeColor="text1"/>
          <w:sz w:val="32"/>
          <w:szCs w:val="32"/>
          <w:lang w:eastAsia="zh-CN"/>
          <w14:textFill>
            <w14:solidFill>
              <w14:schemeClr w14:val="tx1"/>
            </w14:solidFill>
          </w14:textFill>
        </w:rPr>
        <w:t>药</w:t>
      </w:r>
      <w:r>
        <w:rPr>
          <w:rFonts w:hint="eastAsia" w:ascii="仿宋_GB2312" w:hAnsi="仿宋_GB2312" w:eastAsia="仿宋_GB2312" w:cs="仿宋_GB2312"/>
          <w:color w:val="000000" w:themeColor="text1"/>
          <w:sz w:val="32"/>
          <w:szCs w:val="32"/>
          <w14:textFill>
            <w14:solidFill>
              <w14:schemeClr w14:val="tx1"/>
            </w14:solidFill>
          </w14:textFill>
        </w:rPr>
        <w:t>安办</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报告信息，并同时向</w:t>
      </w:r>
      <w:r>
        <w:rPr>
          <w:rFonts w:hint="eastAsia" w:ascii="仿宋_GB2312" w:hAnsi="仿宋_GB2312" w:eastAsia="仿宋_GB2312" w:cs="仿宋_GB2312"/>
          <w:color w:val="000000" w:themeColor="text1"/>
          <w:sz w:val="32"/>
          <w:szCs w:val="32"/>
          <w:lang w:eastAsia="zh-CN"/>
          <w14:textFill>
            <w14:solidFill>
              <w14:schemeClr w14:val="tx1"/>
            </w14:solidFill>
          </w14:textFill>
        </w:rPr>
        <w:t>聊城市</w:t>
      </w:r>
      <w:r>
        <w:rPr>
          <w:rFonts w:hint="eastAsia" w:ascii="仿宋_GB2312" w:hAnsi="仿宋_GB2312" w:eastAsia="仿宋_GB2312" w:cs="仿宋_GB2312"/>
          <w:color w:val="000000" w:themeColor="text1"/>
          <w:sz w:val="32"/>
          <w:szCs w:val="32"/>
          <w14:textFill>
            <w14:solidFill>
              <w14:schemeClr w14:val="tx1"/>
            </w14:solidFill>
          </w14:textFill>
        </w:rPr>
        <w:t>市场监管</w:t>
      </w:r>
      <w:r>
        <w:rPr>
          <w:rFonts w:hint="eastAsia" w:ascii="仿宋_GB2312" w:hAnsi="仿宋_GB2312" w:eastAsia="仿宋_GB2312" w:cs="仿宋_GB2312"/>
          <w:color w:val="000000" w:themeColor="text1"/>
          <w:sz w:val="32"/>
          <w:szCs w:val="32"/>
          <w:lang w:eastAsia="zh-CN"/>
          <w14:textFill>
            <w14:solidFill>
              <w14:schemeClr w14:val="tx1"/>
            </w14:solidFill>
          </w14:textFill>
        </w:rPr>
        <w:t>局（</w:t>
      </w:r>
      <w:r>
        <w:rPr>
          <w:rFonts w:hint="eastAsia" w:ascii="仿宋_GB2312" w:hAnsi="仿宋_GB2312" w:eastAsia="仿宋_GB2312" w:cs="仿宋_GB2312"/>
          <w:color w:val="000000" w:themeColor="text1"/>
          <w:sz w:val="32"/>
          <w:szCs w:val="32"/>
          <w14:textFill>
            <w14:solidFill>
              <w14:schemeClr w14:val="tx1"/>
            </w14:solidFill>
          </w14:textFill>
        </w:rPr>
        <w:t>市食</w:t>
      </w:r>
      <w:r>
        <w:rPr>
          <w:rFonts w:hint="eastAsia" w:ascii="仿宋_GB2312" w:hAnsi="仿宋_GB2312" w:eastAsia="仿宋_GB2312" w:cs="仿宋_GB2312"/>
          <w:color w:val="000000" w:themeColor="text1"/>
          <w:sz w:val="32"/>
          <w:szCs w:val="32"/>
          <w:lang w:eastAsia="zh-CN"/>
          <w14:textFill>
            <w14:solidFill>
              <w14:schemeClr w14:val="tx1"/>
            </w14:solidFill>
          </w14:textFill>
        </w:rPr>
        <w:t>药</w:t>
      </w:r>
      <w:r>
        <w:rPr>
          <w:rFonts w:hint="eastAsia" w:ascii="仿宋_GB2312" w:hAnsi="仿宋_GB2312" w:eastAsia="仿宋_GB2312" w:cs="仿宋_GB2312"/>
          <w:color w:val="000000" w:themeColor="text1"/>
          <w:sz w:val="32"/>
          <w:szCs w:val="32"/>
          <w14:textFill>
            <w14:solidFill>
              <w14:schemeClr w14:val="tx1"/>
            </w14:solidFill>
          </w14:textFill>
        </w:rPr>
        <w:t>安办</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报告信息。必要时，可直接向国家市场监管部门</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国务院食安办</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报告。对Ⅲ级食品安全事故的首报信息，采取信息直报方式，市场监管部</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食</w:t>
      </w:r>
      <w:r>
        <w:rPr>
          <w:rFonts w:hint="eastAsia" w:ascii="仿宋_GB2312" w:hAnsi="仿宋_GB2312" w:eastAsia="仿宋_GB2312" w:cs="仿宋_GB2312"/>
          <w:color w:val="000000" w:themeColor="text1"/>
          <w:sz w:val="32"/>
          <w:szCs w:val="32"/>
          <w:lang w:eastAsia="zh-CN"/>
          <w14:textFill>
            <w14:solidFill>
              <w14:schemeClr w14:val="tx1"/>
            </w14:solidFill>
          </w14:textFill>
        </w:rPr>
        <w:t>药</w:t>
      </w:r>
      <w:r>
        <w:rPr>
          <w:rFonts w:hint="eastAsia" w:ascii="仿宋_GB2312" w:hAnsi="仿宋_GB2312" w:eastAsia="仿宋_GB2312" w:cs="仿宋_GB2312"/>
          <w:color w:val="000000" w:themeColor="text1"/>
          <w:sz w:val="32"/>
          <w:szCs w:val="32"/>
          <w14:textFill>
            <w14:solidFill>
              <w14:schemeClr w14:val="tx1"/>
            </w14:solidFill>
          </w14:textFill>
        </w:rPr>
        <w:t>安办</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应在2小时内向</w:t>
      </w:r>
      <w:r>
        <w:rPr>
          <w:rFonts w:hint="eastAsia" w:ascii="仿宋_GB2312" w:hAnsi="仿宋_GB2312" w:eastAsia="仿宋_GB2312" w:cs="仿宋_GB2312"/>
          <w:color w:val="000000" w:themeColor="text1"/>
          <w:sz w:val="32"/>
          <w:szCs w:val="32"/>
          <w:lang w:eastAsia="zh-CN"/>
          <w14:textFill>
            <w14:solidFill>
              <w14:schemeClr w14:val="tx1"/>
            </w14:solidFill>
          </w14:textFill>
        </w:rPr>
        <w:t>聊城市</w:t>
      </w:r>
      <w:r>
        <w:rPr>
          <w:rFonts w:hint="eastAsia" w:ascii="仿宋_GB2312" w:hAnsi="仿宋_GB2312" w:eastAsia="仿宋_GB2312" w:cs="仿宋_GB2312"/>
          <w:color w:val="000000" w:themeColor="text1"/>
          <w:sz w:val="32"/>
          <w:szCs w:val="32"/>
          <w14:textFill>
            <w14:solidFill>
              <w14:schemeClr w14:val="tx1"/>
            </w14:solidFill>
          </w14:textFill>
        </w:rPr>
        <w:t>市场监管</w:t>
      </w:r>
      <w:r>
        <w:rPr>
          <w:rFonts w:hint="eastAsia" w:ascii="仿宋_GB2312" w:hAnsi="仿宋_GB2312" w:eastAsia="仿宋_GB2312" w:cs="仿宋_GB2312"/>
          <w:color w:val="000000" w:themeColor="text1"/>
          <w:sz w:val="32"/>
          <w:szCs w:val="32"/>
          <w:lang w:eastAsia="zh-CN"/>
          <w14:textFill>
            <w14:solidFill>
              <w14:schemeClr w14:val="tx1"/>
            </w14:solidFill>
          </w14:textFill>
        </w:rPr>
        <w:t>局（市</w:t>
      </w:r>
      <w:r>
        <w:rPr>
          <w:rFonts w:hint="eastAsia" w:ascii="仿宋_GB2312" w:hAnsi="仿宋_GB2312" w:eastAsia="仿宋_GB2312" w:cs="仿宋_GB2312"/>
          <w:color w:val="000000" w:themeColor="text1"/>
          <w:sz w:val="32"/>
          <w:szCs w:val="32"/>
          <w14:textFill>
            <w14:solidFill>
              <w14:schemeClr w14:val="tx1"/>
            </w14:solidFill>
          </w14:textFill>
        </w:rPr>
        <w:t>食</w:t>
      </w:r>
      <w:r>
        <w:rPr>
          <w:rFonts w:hint="eastAsia" w:ascii="仿宋_GB2312" w:hAnsi="仿宋_GB2312" w:eastAsia="仿宋_GB2312" w:cs="仿宋_GB2312"/>
          <w:color w:val="000000" w:themeColor="text1"/>
          <w:sz w:val="32"/>
          <w:szCs w:val="32"/>
          <w:lang w:eastAsia="zh-CN"/>
          <w14:textFill>
            <w14:solidFill>
              <w14:schemeClr w14:val="tx1"/>
            </w14:solidFill>
          </w14:textFill>
        </w:rPr>
        <w:t>药</w:t>
      </w:r>
      <w:r>
        <w:rPr>
          <w:rFonts w:hint="eastAsia" w:ascii="仿宋_GB2312" w:hAnsi="仿宋_GB2312" w:eastAsia="仿宋_GB2312" w:cs="仿宋_GB2312"/>
          <w:color w:val="000000" w:themeColor="text1"/>
          <w:sz w:val="32"/>
          <w:szCs w:val="32"/>
          <w14:textFill>
            <w14:solidFill>
              <w14:schemeClr w14:val="tx1"/>
            </w14:solidFill>
          </w14:textFill>
        </w:rPr>
        <w:t>安办</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报告信息</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4.2.3报告内容</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食品生产经营者、医疗、技术机构和社会团体、个人向各级食品</w:t>
      </w:r>
      <w:r>
        <w:rPr>
          <w:rFonts w:hint="eastAsia" w:ascii="仿宋_GB2312" w:hAnsi="仿宋_GB2312" w:eastAsia="仿宋_GB2312" w:cs="仿宋_GB2312"/>
          <w:sz w:val="32"/>
          <w:szCs w:val="32"/>
          <w:lang w:eastAsia="zh-CN"/>
        </w:rPr>
        <w:t>药品</w:t>
      </w:r>
      <w:r>
        <w:rPr>
          <w:rFonts w:hint="eastAsia" w:ascii="仿宋_GB2312" w:hAnsi="仿宋_GB2312" w:eastAsia="仿宋_GB2312" w:cs="仿宋_GB2312"/>
          <w:sz w:val="32"/>
          <w:szCs w:val="32"/>
        </w:rPr>
        <w:t>安全</w:t>
      </w:r>
      <w:r>
        <w:rPr>
          <w:rFonts w:hint="eastAsia" w:ascii="仿宋_GB2312" w:hAnsi="仿宋_GB2312" w:eastAsia="仿宋_GB2312" w:cs="仿宋_GB2312"/>
          <w:sz w:val="32"/>
          <w:szCs w:val="32"/>
          <w:lang w:eastAsia="zh-CN"/>
        </w:rPr>
        <w:t>管理办公室</w:t>
      </w:r>
      <w:r>
        <w:rPr>
          <w:rFonts w:hint="eastAsia" w:ascii="仿宋_GB2312" w:hAnsi="仿宋_GB2312" w:eastAsia="仿宋_GB2312" w:cs="仿宋_GB2312"/>
          <w:sz w:val="32"/>
          <w:szCs w:val="32"/>
        </w:rPr>
        <w:t>、卫生计生部门和有关监管部门报告疑似食品安全事故信息时，应当包括事故发生时间、地点、单位、危害程度和受伤害人数等基本信息。</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有关监管部门报告分为初次报告、阶段报告和总结报告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rPr>
        <w:t>表样见附件4、5、6</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sz w:val="32"/>
          <w:szCs w:val="32"/>
        </w:rPr>
        <w:t>。初次报告应报告食品安全事故发生的时间、地点，单位、危害程度、初步判定伤亡人数、事故报告的单位时间、联系人及联系方式等以及事故原因的初步判断、已采取的措施及事故控制情况等信息。</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阶段报告应报告事故的发展与变化、处置进程、事故原因，并对初次报告情况进行补充和修正。</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总结报告应包括食品安全事故鉴定结论、事故发生和处理情况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提出今后对类似事故的防范措施和处置建议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提出对引发食品安全事故的有关单位和责任人的处罚意见。总结报告要在事故处理结束后10日内形成。</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4.3事故评估</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4.3.1有关监管部门应当按照有关规定及时向同级市场监管、卫生健康</w:t>
      </w:r>
      <w:r>
        <w:rPr>
          <w:rFonts w:hint="eastAsia" w:ascii="仿宋_GB2312" w:hAnsi="仿宋_GB2312" w:eastAsia="仿宋_GB2312" w:cs="仿宋_GB2312"/>
          <w:sz w:val="32"/>
          <w:szCs w:val="32"/>
          <w:lang w:eastAsia="zh-CN"/>
        </w:rPr>
        <w:t>管理</w:t>
      </w:r>
      <w:r>
        <w:rPr>
          <w:rFonts w:hint="eastAsia" w:ascii="仿宋_GB2312" w:hAnsi="仿宋_GB2312" w:eastAsia="仿宋_GB2312" w:cs="仿宋_GB2312"/>
          <w:sz w:val="32"/>
          <w:szCs w:val="32"/>
        </w:rPr>
        <w:t>部门提供相关信息和资料，由市场监管部门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食</w:t>
      </w:r>
      <w:r>
        <w:rPr>
          <w:rFonts w:hint="eastAsia" w:ascii="仿宋_GB2312" w:hAnsi="仿宋_GB2312" w:eastAsia="仿宋_GB2312" w:cs="仿宋_GB2312"/>
          <w:sz w:val="32"/>
          <w:szCs w:val="32"/>
          <w:lang w:eastAsia="zh-CN"/>
        </w:rPr>
        <w:t>药</w:t>
      </w:r>
      <w:r>
        <w:rPr>
          <w:rFonts w:hint="eastAsia" w:ascii="仿宋_GB2312" w:hAnsi="仿宋_GB2312" w:eastAsia="仿宋_GB2312" w:cs="仿宋_GB2312"/>
          <w:sz w:val="32"/>
          <w:szCs w:val="32"/>
        </w:rPr>
        <w:t>安办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会同卫生健康</w:t>
      </w:r>
      <w:r>
        <w:rPr>
          <w:rFonts w:hint="eastAsia" w:ascii="仿宋_GB2312" w:hAnsi="仿宋_GB2312" w:eastAsia="仿宋_GB2312" w:cs="仿宋_GB2312"/>
          <w:sz w:val="32"/>
          <w:szCs w:val="32"/>
          <w:lang w:eastAsia="zh-CN"/>
        </w:rPr>
        <w:t>管理</w:t>
      </w:r>
      <w:r>
        <w:rPr>
          <w:rFonts w:hint="eastAsia" w:ascii="仿宋_GB2312" w:hAnsi="仿宋_GB2312" w:eastAsia="仿宋_GB2312" w:cs="仿宋_GB2312"/>
          <w:sz w:val="32"/>
          <w:szCs w:val="32"/>
        </w:rPr>
        <w:t>等部门统一组织协调开展食品安全事故评估。</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4.3.2食品安全事故评估是为核定食品安全事故级别和确定应采取的措施而进行的评估。评估内容包括</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污染食品可能导致的健康损害及涉及范围，是否已造成健康损害后果及严重程度</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事故影响范围及严重程度</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事故发展蔓延趋势。</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5.应急响应</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5.1分级响应</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根据食品安全事故分级情况，食品安全事故应急响应分为1级、Ⅱ级、Ⅲ级和</w:t>
      </w:r>
      <w:r>
        <w:rPr>
          <w:rFonts w:hint="eastAsia" w:ascii="仿宋_GB2312" w:hAnsi="仿宋_GB2312" w:eastAsia="仿宋_GB2312" w:cs="仿宋_GB2312"/>
          <w:sz w:val="32"/>
          <w:szCs w:val="32"/>
          <w:lang w:eastAsia="zh-CN"/>
        </w:rPr>
        <w:t>Ⅳ级</w:t>
      </w:r>
      <w:r>
        <w:rPr>
          <w:rFonts w:hint="eastAsia" w:ascii="仿宋_GB2312" w:hAnsi="仿宋_GB2312" w:eastAsia="仿宋_GB2312" w:cs="仿宋_GB2312"/>
          <w:sz w:val="32"/>
          <w:szCs w:val="32"/>
        </w:rPr>
        <w:t>响应。食源性疾病中涉及传染病疫情的，按照《中华人民共和国传染病防治法》和《聊城市突发公共卫生事件应急预案》等相关规定开展疫情防控和应急处置。</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5.1.1核定为特别重大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I级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、重大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Ⅱ级</w:t>
      </w:r>
      <w:r>
        <w:rPr>
          <w:rFonts w:hint="eastAsia" w:ascii="仿宋_GB2312" w:hAnsi="仿宋_GB2312" w:eastAsia="仿宋_GB2312" w:cs="仿宋_GB2312"/>
          <w:sz w:val="32"/>
          <w:szCs w:val="32"/>
          <w:lang w:eastAsia="zh-CN"/>
        </w:rPr>
        <w:t>）、较大（</w:t>
      </w:r>
      <w:r>
        <w:rPr>
          <w:rFonts w:hint="eastAsia" w:ascii="仿宋_GB2312" w:hAnsi="仿宋_GB2312" w:eastAsia="仿宋_GB2312" w:cs="仿宋_GB2312"/>
          <w:sz w:val="32"/>
          <w:szCs w:val="32"/>
        </w:rPr>
        <w:t>Ⅲ级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食品安全事故的，应急响应分别报请国务院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省政府</w:t>
      </w:r>
      <w:r>
        <w:rPr>
          <w:rFonts w:hint="eastAsia" w:ascii="仿宋_GB2312" w:hAnsi="仿宋_GB2312" w:eastAsia="仿宋_GB2312" w:cs="仿宋_GB2312"/>
          <w:sz w:val="32"/>
          <w:szCs w:val="32"/>
          <w:lang w:eastAsia="zh-CN"/>
        </w:rPr>
        <w:t>和聊城市人民政府</w:t>
      </w:r>
      <w:r>
        <w:rPr>
          <w:rFonts w:hint="eastAsia" w:ascii="仿宋_GB2312" w:hAnsi="仿宋_GB2312" w:eastAsia="仿宋_GB2312" w:cs="仿宋_GB2312"/>
          <w:sz w:val="32"/>
          <w:szCs w:val="32"/>
        </w:rPr>
        <w:t>批准并启动实施，组织开展应急处置。当组织实施I级、Ⅱ级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Ⅲ级应急响应时，</w:t>
      </w:r>
      <w:r>
        <w:rPr>
          <w:rFonts w:hint="eastAsia" w:ascii="仿宋_GB2312" w:hAnsi="仿宋_GB2312" w:eastAsia="仿宋_GB2312" w:cs="仿宋_GB2312"/>
          <w:sz w:val="32"/>
          <w:szCs w:val="32"/>
          <w:lang w:eastAsia="zh-CN"/>
        </w:rPr>
        <w:t>开发区管委会</w:t>
      </w:r>
      <w:r>
        <w:rPr>
          <w:rFonts w:hint="eastAsia" w:ascii="仿宋_GB2312" w:hAnsi="仿宋_GB2312" w:eastAsia="仿宋_GB2312" w:cs="仿宋_GB2312"/>
          <w:sz w:val="32"/>
          <w:szCs w:val="32"/>
        </w:rPr>
        <w:t>应当按照国家特别重大食品安全事故应急处置指挥部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省政府重大食品安全事故应急处置指挥部</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lang w:val="en-US" w:eastAsia="zh-CN"/>
        </w:rPr>
        <w:t>聊城市人民政府较大食品安全事故应急处置指挥部</w:t>
      </w:r>
      <w:r>
        <w:rPr>
          <w:rFonts w:hint="eastAsia" w:ascii="仿宋_GB2312" w:hAnsi="仿宋_GB2312" w:eastAsia="仿宋_GB2312" w:cs="仿宋_GB2312"/>
          <w:sz w:val="32"/>
          <w:szCs w:val="32"/>
        </w:rPr>
        <w:t>的部署及应急预案全力开展应急处置。</w:t>
      </w:r>
      <w:r>
        <w:rPr>
          <w:rFonts w:hint="eastAsia" w:ascii="仿宋_GB2312" w:hAnsi="仿宋_GB2312" w:eastAsia="仿宋_GB2312" w:cs="仿宋_GB2312"/>
          <w:sz w:val="32"/>
          <w:szCs w:val="32"/>
          <w:lang w:eastAsia="zh-CN"/>
        </w:rPr>
        <w:t>开发区管委会</w:t>
      </w:r>
      <w:r>
        <w:rPr>
          <w:rFonts w:hint="eastAsia" w:ascii="仿宋_GB2312" w:hAnsi="仿宋_GB2312" w:eastAsia="仿宋_GB2312" w:cs="仿宋_GB2312"/>
          <w:sz w:val="32"/>
          <w:szCs w:val="32"/>
        </w:rPr>
        <w:t>及有关部门及时向</w:t>
      </w:r>
      <w:r>
        <w:rPr>
          <w:rFonts w:hint="eastAsia" w:ascii="仿宋_GB2312" w:hAnsi="仿宋_GB2312" w:eastAsia="仿宋_GB2312" w:cs="仿宋_GB2312"/>
          <w:sz w:val="32"/>
          <w:szCs w:val="32"/>
          <w:lang w:eastAsia="zh-CN"/>
        </w:rPr>
        <w:t>聊城市人民</w:t>
      </w:r>
      <w:r>
        <w:rPr>
          <w:rFonts w:hint="eastAsia" w:ascii="仿宋_GB2312" w:hAnsi="仿宋_GB2312" w:eastAsia="仿宋_GB2312" w:cs="仿宋_GB2312"/>
          <w:sz w:val="32"/>
          <w:szCs w:val="32"/>
        </w:rPr>
        <w:t>政府及有关部门、</w:t>
      </w:r>
      <w:r>
        <w:rPr>
          <w:rFonts w:hint="eastAsia" w:ascii="仿宋_GB2312" w:hAnsi="仿宋_GB2312" w:eastAsia="仿宋_GB2312" w:cs="仿宋_GB2312"/>
          <w:sz w:val="32"/>
          <w:szCs w:val="32"/>
          <w:lang w:eastAsia="zh-CN"/>
        </w:rPr>
        <w:t>聊城市</w:t>
      </w:r>
      <w:r>
        <w:rPr>
          <w:rFonts w:hint="eastAsia" w:ascii="仿宋_GB2312" w:hAnsi="仿宋_GB2312" w:eastAsia="仿宋_GB2312" w:cs="仿宋_GB2312"/>
          <w:sz w:val="32"/>
          <w:szCs w:val="32"/>
        </w:rPr>
        <w:t>食品安全事故应急处置指挥部办公室报告基本情况、事态发展和应急处置进展情况。</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5.1.2核定为</w:t>
      </w:r>
      <w:r>
        <w:rPr>
          <w:rFonts w:hint="eastAsia" w:ascii="仿宋_GB2312" w:hAnsi="仿宋_GB2312" w:eastAsia="仿宋_GB2312" w:cs="仿宋_GB2312"/>
          <w:sz w:val="32"/>
          <w:szCs w:val="32"/>
          <w:lang w:eastAsia="zh-CN"/>
        </w:rPr>
        <w:t>一般（Ⅳ级）</w:t>
      </w:r>
      <w:r>
        <w:rPr>
          <w:rFonts w:hint="eastAsia" w:ascii="仿宋_GB2312" w:hAnsi="仿宋_GB2312" w:eastAsia="仿宋_GB2312" w:cs="仿宋_GB2312"/>
          <w:sz w:val="32"/>
          <w:szCs w:val="32"/>
        </w:rPr>
        <w:t>食品安全事故的，应急响应由</w:t>
      </w:r>
      <w:r>
        <w:rPr>
          <w:rFonts w:hint="eastAsia" w:ascii="仿宋_GB2312" w:hAnsi="仿宋_GB2312" w:eastAsia="仿宋_GB2312" w:cs="仿宋_GB2312"/>
          <w:sz w:val="32"/>
          <w:szCs w:val="32"/>
          <w:lang w:eastAsia="zh-CN"/>
        </w:rPr>
        <w:t>聊城经济技术开发区管委会</w:t>
      </w:r>
      <w:r>
        <w:rPr>
          <w:rFonts w:hint="eastAsia" w:ascii="仿宋_GB2312" w:hAnsi="仿宋_GB2312" w:eastAsia="仿宋_GB2312" w:cs="仿宋_GB2312"/>
          <w:sz w:val="32"/>
          <w:szCs w:val="32"/>
        </w:rPr>
        <w:t>决定启动并组织实施。发生</w:t>
      </w:r>
      <w:r>
        <w:rPr>
          <w:rFonts w:hint="eastAsia" w:ascii="仿宋_GB2312" w:hAnsi="仿宋_GB2312" w:eastAsia="仿宋_GB2312" w:cs="仿宋_GB2312"/>
          <w:sz w:val="32"/>
          <w:szCs w:val="32"/>
          <w:lang w:eastAsia="zh-CN"/>
        </w:rPr>
        <w:t>一般</w:t>
      </w:r>
      <w:r>
        <w:rPr>
          <w:rFonts w:hint="eastAsia" w:ascii="仿宋_GB2312" w:hAnsi="仿宋_GB2312" w:eastAsia="仿宋_GB2312" w:cs="仿宋_GB2312"/>
          <w:sz w:val="32"/>
          <w:szCs w:val="32"/>
        </w:rPr>
        <w:t>食品安全事故后，</w:t>
      </w:r>
      <w:r>
        <w:rPr>
          <w:rFonts w:hint="eastAsia" w:ascii="仿宋_GB2312" w:hAnsi="仿宋_GB2312" w:eastAsia="仿宋_GB2312" w:cs="仿宋_GB2312"/>
          <w:sz w:val="32"/>
          <w:szCs w:val="32"/>
          <w:lang w:eastAsia="zh-CN"/>
        </w:rPr>
        <w:t>聊城经济技术开发区管委会</w:t>
      </w:r>
      <w:r>
        <w:rPr>
          <w:rFonts w:hint="eastAsia" w:ascii="仿宋_GB2312" w:hAnsi="仿宋_GB2312" w:eastAsia="仿宋_GB2312" w:cs="仿宋_GB2312"/>
          <w:sz w:val="32"/>
          <w:szCs w:val="32"/>
        </w:rPr>
        <w:t>立即成立食品安全事故应急处置指挥部和办公室。指挥部成员单位迅速到位，并成立事故调查组、危害控制组、医疗救治组、检测评估组、维护稳定组、新闻宣传组、专家组等有关工作组，在指挥部的统一领导与指挥下，按照相应职责分工做好事故应急处置工作。组织协调街道办事处及有关部门全力开展应急处置，并及时报告相关工作进展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随时掌握事故发展动态。根据有关部门和专家建议，通知有关应急处置专业技术机构随时待命，为地方应急处置指挥机构提供技术支持。派出有关人员和专家赶赴现场参加、指导现场应急救援，必要时协调专业应急力量救援。</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事故发生单位按相应处置方案开展先期处置，并配合有关部门做好食品安全事故的应急处置</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5.2应急处置措施</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一般（Ⅳ级）</w:t>
      </w:r>
      <w:r>
        <w:rPr>
          <w:rFonts w:hint="eastAsia" w:ascii="仿宋_GB2312" w:hAnsi="仿宋_GB2312" w:eastAsia="仿宋_GB2312" w:cs="仿宋_GB2312"/>
          <w:sz w:val="32"/>
          <w:szCs w:val="32"/>
        </w:rPr>
        <w:t>食品安全事故发生后，根据事故性质、特点和危害程度，</w:t>
      </w:r>
      <w:r>
        <w:rPr>
          <w:rFonts w:hint="eastAsia" w:ascii="仿宋_GB2312" w:hAnsi="仿宋_GB2312" w:eastAsia="仿宋_GB2312" w:cs="仿宋_GB2312"/>
          <w:sz w:val="32"/>
          <w:szCs w:val="32"/>
          <w:lang w:eastAsia="zh-CN"/>
        </w:rPr>
        <w:t>区一般</w:t>
      </w:r>
      <w:r>
        <w:rPr>
          <w:rFonts w:hint="eastAsia" w:ascii="仿宋_GB2312" w:hAnsi="仿宋_GB2312" w:eastAsia="仿宋_GB2312" w:cs="仿宋_GB2312"/>
          <w:sz w:val="32"/>
          <w:szCs w:val="32"/>
        </w:rPr>
        <w:t>食品安全事故应急处置指挥部要立即按照预案组织有关部门，依照有关规定采取下列应急处置措施，以最大限度减轻事故危害</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）卫健管理办公室</w:t>
      </w:r>
      <w:r>
        <w:rPr>
          <w:rFonts w:hint="eastAsia" w:ascii="仿宋_GB2312" w:hAnsi="仿宋_GB2312" w:eastAsia="仿宋_GB2312" w:cs="仿宋_GB2312"/>
          <w:sz w:val="32"/>
          <w:szCs w:val="32"/>
        </w:rPr>
        <w:t>有效利用医疗资源，组织指导医疗机构开展食品安全事故患者的救治。</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）卫健管理办公室</w:t>
      </w:r>
      <w:r>
        <w:rPr>
          <w:rFonts w:hint="eastAsia" w:ascii="仿宋_GB2312" w:hAnsi="仿宋_GB2312" w:eastAsia="仿宋_GB2312" w:cs="仿宋_GB2312"/>
          <w:sz w:val="32"/>
          <w:szCs w:val="32"/>
        </w:rPr>
        <w:t>及时组织疾病预防控制机构开展流行病学调查与检测，</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市场监管</w:t>
      </w:r>
      <w:r>
        <w:rPr>
          <w:rFonts w:hint="eastAsia" w:ascii="仿宋_GB2312" w:hAnsi="仿宋_GB2312" w:eastAsia="仿宋_GB2312" w:cs="仿宋_GB2312"/>
          <w:sz w:val="32"/>
          <w:szCs w:val="32"/>
          <w:lang w:eastAsia="zh-CN"/>
        </w:rPr>
        <w:t>部（区</w:t>
      </w:r>
      <w:r>
        <w:rPr>
          <w:rFonts w:hint="eastAsia" w:ascii="仿宋_GB2312" w:hAnsi="仿宋_GB2312" w:eastAsia="仿宋_GB2312" w:cs="仿宋_GB2312"/>
          <w:sz w:val="32"/>
          <w:szCs w:val="32"/>
        </w:rPr>
        <w:t>食</w:t>
      </w:r>
      <w:r>
        <w:rPr>
          <w:rFonts w:hint="eastAsia" w:ascii="仿宋_GB2312" w:hAnsi="仿宋_GB2312" w:eastAsia="仿宋_GB2312" w:cs="仿宋_GB2312"/>
          <w:sz w:val="32"/>
          <w:szCs w:val="32"/>
          <w:lang w:eastAsia="zh-CN"/>
        </w:rPr>
        <w:t>药</w:t>
      </w:r>
      <w:r>
        <w:rPr>
          <w:rFonts w:hint="eastAsia" w:ascii="仿宋_GB2312" w:hAnsi="仿宋_GB2312" w:eastAsia="仿宋_GB2312" w:cs="仿宋_GB2312"/>
          <w:sz w:val="32"/>
          <w:szCs w:val="32"/>
        </w:rPr>
        <w:t>安办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等相关部门及时组织检验机构开展抽样检验，尽快查找食品安全事故发生的原因。对涉嫌犯罪的，公安部门及时介入，开展相关犯罪行为的侦查工作</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农业农村</w:t>
      </w:r>
      <w:r>
        <w:rPr>
          <w:rFonts w:hint="eastAsia" w:ascii="仿宋_GB2312" w:hAnsi="仿宋_GB2312" w:eastAsia="仿宋_GB2312" w:cs="仿宋_GB2312"/>
          <w:sz w:val="32"/>
          <w:szCs w:val="32"/>
          <w:lang w:eastAsia="zh-CN"/>
        </w:rPr>
        <w:t>分局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自然资源和生态环境分局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市场监管</w:t>
      </w:r>
      <w:r>
        <w:rPr>
          <w:rFonts w:hint="eastAsia" w:ascii="仿宋_GB2312" w:hAnsi="仿宋_GB2312" w:eastAsia="仿宋_GB2312" w:cs="仿宋_GB2312"/>
          <w:sz w:val="32"/>
          <w:szCs w:val="32"/>
          <w:lang w:eastAsia="zh-CN"/>
        </w:rPr>
        <w:t>部</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eastAsia="zh-CN"/>
        </w:rPr>
        <w:t>相关</w:t>
      </w:r>
      <w:r>
        <w:rPr>
          <w:rFonts w:hint="eastAsia" w:ascii="仿宋_GB2312" w:hAnsi="仿宋_GB2312" w:eastAsia="仿宋_GB2312" w:cs="仿宋_GB2312"/>
          <w:sz w:val="32"/>
          <w:szCs w:val="32"/>
        </w:rPr>
        <w:t>部门应当依法强制性就地或异地封存事故相关食品及原料和被污染的食品用工具及用具，待查明导致食品安全事故原因后，责令食品生产经营者彻底清洗消毒被污染的食品用工具及用具，消除污染。</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对确认受到有毒有害物质污染的相关食品及原料，农业农村</w:t>
      </w:r>
      <w:r>
        <w:rPr>
          <w:rFonts w:hint="eastAsia" w:ascii="仿宋_GB2312" w:hAnsi="仿宋_GB2312" w:eastAsia="仿宋_GB2312" w:cs="仿宋_GB2312"/>
          <w:sz w:val="32"/>
          <w:szCs w:val="32"/>
          <w:lang w:eastAsia="zh-CN"/>
        </w:rPr>
        <w:t>分局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自然资源和生态环境分局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市场监管</w:t>
      </w:r>
      <w:r>
        <w:rPr>
          <w:rFonts w:hint="eastAsia" w:ascii="仿宋_GB2312" w:hAnsi="仿宋_GB2312" w:eastAsia="仿宋_GB2312" w:cs="仿宋_GB2312"/>
          <w:sz w:val="32"/>
          <w:szCs w:val="32"/>
          <w:lang w:eastAsia="zh-CN"/>
        </w:rPr>
        <w:t>部</w:t>
      </w:r>
      <w:r>
        <w:rPr>
          <w:rFonts w:hint="eastAsia" w:ascii="仿宋_GB2312" w:hAnsi="仿宋_GB2312" w:eastAsia="仿宋_GB2312" w:cs="仿宋_GB2312"/>
          <w:sz w:val="32"/>
          <w:szCs w:val="32"/>
        </w:rPr>
        <w:t>等有关监管部门应当依法责</w:t>
      </w:r>
      <w:r>
        <w:rPr>
          <w:rFonts w:hint="eastAsia" w:ascii="仿宋_GB2312" w:hAnsi="仿宋_GB2312" w:eastAsia="仿宋_GB2312" w:cs="仿宋_GB2312"/>
          <w:sz w:val="32"/>
          <w:szCs w:val="32"/>
          <w:lang w:eastAsia="zh-CN"/>
        </w:rPr>
        <w:t>令</w:t>
      </w:r>
      <w:r>
        <w:rPr>
          <w:rFonts w:hint="eastAsia" w:ascii="仿宋_GB2312" w:hAnsi="仿宋_GB2312" w:eastAsia="仿宋_GB2312" w:cs="仿宋_GB2312"/>
          <w:sz w:val="32"/>
          <w:szCs w:val="32"/>
        </w:rPr>
        <w:t>生产经营者召回、</w:t>
      </w:r>
      <w:r>
        <w:rPr>
          <w:rFonts w:hint="eastAsia" w:ascii="仿宋_GB2312" w:hAnsi="仿宋_GB2312" w:eastAsia="仿宋_GB2312" w:cs="仿宋_GB2312"/>
          <w:sz w:val="32"/>
          <w:szCs w:val="32"/>
          <w:lang w:eastAsia="zh-CN"/>
        </w:rPr>
        <w:t>停止</w:t>
      </w:r>
      <w:r>
        <w:rPr>
          <w:rFonts w:hint="eastAsia" w:ascii="仿宋_GB2312" w:hAnsi="仿宋_GB2312" w:eastAsia="仿宋_GB2312" w:cs="仿宋_GB2312"/>
          <w:sz w:val="32"/>
          <w:szCs w:val="32"/>
        </w:rPr>
        <w:t>经营及进出口并销毁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检验后确认未被污染的应当予以解封。</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及时组织研判事故发展态势，并向事故可能蔓延到的</w:t>
      </w:r>
      <w:r>
        <w:rPr>
          <w:rFonts w:hint="eastAsia" w:ascii="仿宋_GB2312" w:hAnsi="仿宋_GB2312" w:eastAsia="仿宋_GB2312" w:cs="仿宋_GB2312"/>
          <w:sz w:val="32"/>
          <w:szCs w:val="32"/>
          <w:lang w:eastAsia="zh-CN"/>
        </w:rPr>
        <w:t>办事处</w:t>
      </w:r>
      <w:r>
        <w:rPr>
          <w:rFonts w:hint="eastAsia" w:ascii="仿宋_GB2312" w:hAnsi="仿宋_GB2312" w:eastAsia="仿宋_GB2312" w:cs="仿宋_GB2312"/>
          <w:sz w:val="32"/>
          <w:szCs w:val="32"/>
        </w:rPr>
        <w:t>通报信息，提醒做好应对准备。事故可能影响到</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外时，应及时报请</w:t>
      </w:r>
      <w:r>
        <w:rPr>
          <w:rFonts w:hint="eastAsia" w:ascii="仿宋_GB2312" w:hAnsi="仿宋_GB2312" w:eastAsia="仿宋_GB2312" w:cs="仿宋_GB2312"/>
          <w:sz w:val="32"/>
          <w:szCs w:val="32"/>
          <w:lang w:eastAsia="zh-CN"/>
        </w:rPr>
        <w:t>聊城市较</w:t>
      </w:r>
      <w:r>
        <w:rPr>
          <w:rFonts w:hint="eastAsia" w:ascii="仿宋_GB2312" w:hAnsi="仿宋_GB2312" w:eastAsia="仿宋_GB2312" w:cs="仿宋_GB2312"/>
          <w:sz w:val="32"/>
          <w:szCs w:val="32"/>
        </w:rPr>
        <w:t>大食品安全事故应急处置指挥部办公室或</w:t>
      </w:r>
      <w:r>
        <w:rPr>
          <w:rFonts w:hint="eastAsia" w:ascii="仿宋_GB2312" w:hAnsi="仿宋_GB2312" w:eastAsia="仿宋_GB2312" w:cs="仿宋_GB2312"/>
          <w:sz w:val="32"/>
          <w:szCs w:val="32"/>
          <w:lang w:eastAsia="zh-CN"/>
        </w:rPr>
        <w:t>聊城市人民</w:t>
      </w:r>
      <w:r>
        <w:rPr>
          <w:rFonts w:hint="eastAsia" w:ascii="仿宋_GB2312" w:hAnsi="仿宋_GB2312" w:eastAsia="仿宋_GB2312" w:cs="仿宋_GB2312"/>
          <w:sz w:val="32"/>
          <w:szCs w:val="32"/>
        </w:rPr>
        <w:t>政府有关部门，协调做好相关通报工作</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5.3检测分析评估</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应急处置专业技术机构应当对引发食品安全事故的相关危险因素及时进行检测，专家组对检测数据进行综合分析评估，分析事故发展趋势、预测事故后果，为制定事故调查和现场处置方案提供参考。有关部门应当及时对食品安全事故相关危险因素消除或控制，事故中伤病人员救治，事故现场、受污染食品的控制，食品与环境，次生、衍生事故隐患消除等情况进行分析评估，提出评估建议，并采取相应处置措施</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5.4响应级别调整及终止</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5.4.1响应级别调整及终止条件</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在食品安全事故处置过程中，要遵循事故发生发展的客观规律，结合实际情况和防控工作需要，根据评估结果及时调整应急响应级别，直至响应终止。</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级别提升</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事故进一步加重，影响和危害扩大，并有蔓延趋势，情况复杂难以控制时，应及时提升响应级别。当学校或托幼机构、全国性或区域性重要活动期间发生食品安全事故时，可相应提高响应级别，加大应急处置力度，确保迅速、有效控制食品安全事故，维护社会稳定。</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级别降低</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事故危害得到有效控制，且经研判认为事故危害降低到原级别评估标准以下或无进一步扩散趋势的，可降低应急响应级别。</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响应终止</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当食品安全事故得到控制，并达到以下两项要求，经分析评估认为可解除响应的，应当及时终止响应。</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①食品安全事故伤病员全部得到救治，原患者病情稳定24小时以上，且无新的急性病症患者出现，食源性感染性疾病在末例患者后经过最长潜伏期无新病例出现</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②现场、受污染食品得到有效控制，食品与环境污染得到有效清理并符合相关标准，次生、衍生事故隐患消除。</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5.4.2响应级别调整及终止程序</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一般（Ⅳ级）</w:t>
      </w:r>
      <w:r>
        <w:rPr>
          <w:rFonts w:hint="eastAsia" w:ascii="仿宋_GB2312" w:hAnsi="仿宋_GB2312" w:eastAsia="仿宋_GB2312" w:cs="仿宋_GB2312"/>
          <w:sz w:val="32"/>
          <w:szCs w:val="32"/>
        </w:rPr>
        <w:t>食品安全事故由指挥部组织对事故进行分析评估论证。评估认为符合级别调整条件的，指挥部提出调整应急响应级别建议，报</w:t>
      </w:r>
      <w:r>
        <w:rPr>
          <w:rFonts w:hint="eastAsia" w:ascii="仿宋_GB2312" w:hAnsi="仿宋_GB2312" w:eastAsia="仿宋_GB2312" w:cs="仿宋_GB2312"/>
          <w:sz w:val="32"/>
          <w:szCs w:val="32"/>
          <w:lang w:eastAsia="zh-CN"/>
        </w:rPr>
        <w:t>聊城经济技术开发区管委会</w:t>
      </w:r>
      <w:r>
        <w:rPr>
          <w:rFonts w:hint="eastAsia" w:ascii="仿宋_GB2312" w:hAnsi="仿宋_GB2312" w:eastAsia="仿宋_GB2312" w:cs="仿宋_GB2312"/>
          <w:sz w:val="32"/>
          <w:szCs w:val="32"/>
        </w:rPr>
        <w:t>批准后实施。应急响应级别调整后，事故相关</w:t>
      </w:r>
      <w:r>
        <w:rPr>
          <w:rFonts w:hint="eastAsia" w:ascii="仿宋_GB2312" w:hAnsi="仿宋_GB2312" w:eastAsia="仿宋_GB2312" w:cs="仿宋_GB2312"/>
          <w:sz w:val="32"/>
          <w:szCs w:val="32"/>
          <w:lang w:eastAsia="zh-CN"/>
        </w:rPr>
        <w:t>办事处</w:t>
      </w:r>
      <w:r>
        <w:rPr>
          <w:rFonts w:hint="eastAsia" w:ascii="仿宋_GB2312" w:hAnsi="仿宋_GB2312" w:eastAsia="仿宋_GB2312" w:cs="仿宋_GB2312"/>
          <w:sz w:val="32"/>
          <w:szCs w:val="32"/>
        </w:rPr>
        <w:t>应当结合调整后级别采取相应措施。评估认为符合响应终止条件时，指挥部提出终止响应建议，报</w:t>
      </w:r>
      <w:r>
        <w:rPr>
          <w:rFonts w:hint="eastAsia" w:ascii="仿宋_GB2312" w:hAnsi="仿宋_GB2312" w:eastAsia="仿宋_GB2312" w:cs="仿宋_GB2312"/>
          <w:sz w:val="32"/>
          <w:szCs w:val="32"/>
          <w:lang w:eastAsia="zh-CN"/>
        </w:rPr>
        <w:t>聊城经济技术开发区管委会</w:t>
      </w:r>
      <w:r>
        <w:rPr>
          <w:rFonts w:hint="eastAsia" w:ascii="仿宋_GB2312" w:hAnsi="仿宋_GB2312" w:eastAsia="仿宋_GB2312" w:cs="仿宋_GB2312"/>
          <w:sz w:val="32"/>
          <w:szCs w:val="32"/>
        </w:rPr>
        <w:t>批准后实施。</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上级人民政府有关部门应当根据下级人民政府有关部门的请求，及时组织专家为食品安全事故响应级别调整和终止的分析论证提供技术支持与指导。</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5.5信息发布</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一般（Ⅳ级）</w:t>
      </w:r>
      <w:r>
        <w:rPr>
          <w:rFonts w:hint="eastAsia" w:ascii="仿宋_GB2312" w:hAnsi="仿宋_GB2312" w:eastAsia="仿宋_GB2312" w:cs="仿宋_GB2312"/>
          <w:sz w:val="32"/>
          <w:szCs w:val="32"/>
        </w:rPr>
        <w:t>食品安全事故发生后，由指挥部或其办公室统一组织，采取召开新闻发布会、发布新闻通稿等多种形式向社会发布，做好宣传报道和舆论引导。</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6.后期处置</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6.1善后处置</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食品安全事故的善后处置工作包括人员安置、补偿，征用物资及运输工具补偿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应急及医疗机构</w:t>
      </w:r>
      <w:r>
        <w:rPr>
          <w:rFonts w:hint="eastAsia" w:ascii="仿宋_GB2312" w:hAnsi="仿宋_GB2312" w:eastAsia="仿宋_GB2312" w:cs="仿宋_GB2312"/>
          <w:sz w:val="32"/>
          <w:szCs w:val="32"/>
          <w:lang w:eastAsia="zh-CN"/>
        </w:rPr>
        <w:t>垫付</w:t>
      </w:r>
      <w:r>
        <w:rPr>
          <w:rFonts w:hint="eastAsia" w:ascii="仿宋_GB2312" w:hAnsi="仿宋_GB2312" w:eastAsia="仿宋_GB2312" w:cs="仿宋_GB2312"/>
          <w:sz w:val="32"/>
          <w:szCs w:val="32"/>
        </w:rPr>
        <w:t>费用、事故受害者后续治疗费用的及时支付以及产品抽样和检验费用的及时拨付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污染物收集、清理与处理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涉外和港澳台的有关善后处置工作等</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各办事处</w:t>
      </w:r>
      <w:r>
        <w:rPr>
          <w:rFonts w:hint="eastAsia" w:ascii="仿宋_GB2312" w:hAnsi="仿宋_GB2312" w:eastAsia="仿宋_GB2312" w:cs="仿宋_GB2312"/>
          <w:sz w:val="32"/>
          <w:szCs w:val="32"/>
        </w:rPr>
        <w:t>及</w:t>
      </w:r>
      <w:r>
        <w:rPr>
          <w:rFonts w:hint="eastAsia" w:ascii="仿宋_GB2312" w:hAnsi="仿宋_GB2312" w:eastAsia="仿宋_GB2312" w:cs="仿宋_GB2312"/>
          <w:sz w:val="32"/>
          <w:szCs w:val="32"/>
          <w:lang w:eastAsia="zh-CN"/>
        </w:rPr>
        <w:t>管委会</w:t>
      </w:r>
      <w:r>
        <w:rPr>
          <w:rFonts w:hint="eastAsia" w:ascii="仿宋_GB2312" w:hAnsi="仿宋_GB2312" w:eastAsia="仿宋_GB2312" w:cs="仿宋_GB2312"/>
          <w:sz w:val="32"/>
          <w:szCs w:val="32"/>
        </w:rPr>
        <w:t>有关部门要积极稳妥深入细致地做好善后工作，尽快</w:t>
      </w:r>
      <w:r>
        <w:rPr>
          <w:rFonts w:hint="eastAsia" w:ascii="仿宋_GB2312" w:hAnsi="仿宋_GB2312" w:eastAsia="仿宋_GB2312" w:cs="仿宋_GB2312"/>
          <w:sz w:val="32"/>
          <w:szCs w:val="32"/>
          <w:lang w:eastAsia="zh-CN"/>
        </w:rPr>
        <w:t>妥善</w:t>
      </w:r>
      <w:r>
        <w:rPr>
          <w:rFonts w:hint="eastAsia" w:ascii="仿宋_GB2312" w:hAnsi="仿宋_GB2312" w:eastAsia="仿宋_GB2312" w:cs="仿宋_GB2312"/>
          <w:sz w:val="32"/>
          <w:szCs w:val="32"/>
        </w:rPr>
        <w:t>安置、</w:t>
      </w:r>
      <w:r>
        <w:rPr>
          <w:rFonts w:hint="eastAsia" w:ascii="仿宋_GB2312" w:hAnsi="仿宋_GB2312" w:eastAsia="仿宋_GB2312" w:cs="仿宋_GB2312"/>
          <w:sz w:val="32"/>
          <w:szCs w:val="32"/>
          <w:lang w:eastAsia="zh-CN"/>
        </w:rPr>
        <w:t>慰问</w:t>
      </w:r>
      <w:r>
        <w:rPr>
          <w:rFonts w:hint="eastAsia" w:ascii="仿宋_GB2312" w:hAnsi="仿宋_GB2312" w:eastAsia="仿宋_GB2312" w:cs="仿宋_GB2312"/>
          <w:sz w:val="32"/>
          <w:szCs w:val="32"/>
        </w:rPr>
        <w:t>受害和受影响人员，</w:t>
      </w:r>
      <w:r>
        <w:rPr>
          <w:rFonts w:hint="eastAsia" w:ascii="仿宋_GB2312" w:hAnsi="仿宋_GB2312" w:eastAsia="仿宋_GB2312" w:cs="仿宋_GB2312"/>
          <w:sz w:val="32"/>
          <w:szCs w:val="32"/>
          <w:lang w:eastAsia="zh-CN"/>
        </w:rPr>
        <w:t>恢复</w:t>
      </w:r>
      <w:r>
        <w:rPr>
          <w:rFonts w:hint="eastAsia" w:ascii="仿宋_GB2312" w:hAnsi="仿宋_GB2312" w:eastAsia="仿宋_GB2312" w:cs="仿宋_GB2312"/>
          <w:sz w:val="32"/>
          <w:szCs w:val="32"/>
        </w:rPr>
        <w:t>正常秩序，完善相关政策，促进行业健康发展</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食品安全事故发生后，保险机构应当及时开展应急救援人员保险受理和受灾人员保险理赔工作。</w:t>
      </w:r>
      <w:r>
        <w:rPr>
          <w:rFonts w:hint="eastAsia" w:ascii="仿宋_GB2312" w:hAnsi="仿宋_GB2312" w:eastAsia="仿宋_GB2312" w:cs="仿宋_GB2312"/>
          <w:sz w:val="32"/>
          <w:szCs w:val="32"/>
          <w:lang w:eastAsia="zh-CN"/>
        </w:rPr>
        <w:t>造</w:t>
      </w:r>
      <w:r>
        <w:rPr>
          <w:rFonts w:hint="eastAsia" w:ascii="仿宋_GB2312" w:hAnsi="仿宋_GB2312" w:eastAsia="仿宋_GB2312" w:cs="仿宋_GB2312"/>
          <w:sz w:val="32"/>
          <w:szCs w:val="32"/>
        </w:rPr>
        <w:t>成</w:t>
      </w:r>
      <w:r>
        <w:rPr>
          <w:rFonts w:hint="eastAsia" w:ascii="仿宋_GB2312" w:hAnsi="仿宋_GB2312" w:eastAsia="仿宋_GB2312" w:cs="仿宋_GB2312"/>
          <w:sz w:val="32"/>
          <w:szCs w:val="32"/>
          <w:lang w:eastAsia="zh-CN"/>
        </w:rPr>
        <w:t>食品</w:t>
      </w:r>
      <w:r>
        <w:rPr>
          <w:rFonts w:hint="eastAsia" w:ascii="仿宋_GB2312" w:hAnsi="仿宋_GB2312" w:eastAsia="仿宋_GB2312" w:cs="仿宋_GB2312"/>
          <w:sz w:val="32"/>
          <w:szCs w:val="32"/>
        </w:rPr>
        <w:t>安全事故的责任单位和责任人应按有关规定对受害人给予赔偿，承担受害人后续治疗及保障等相关费用。</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6.2考核奖惩</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6.2.1考核奖励</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区市场监督管理部（区</w:t>
      </w:r>
      <w:r>
        <w:rPr>
          <w:rFonts w:hint="eastAsia" w:ascii="仿宋_GB2312" w:hAnsi="仿宋_GB2312" w:eastAsia="仿宋_GB2312" w:cs="仿宋_GB2312"/>
          <w:sz w:val="32"/>
          <w:szCs w:val="32"/>
        </w:rPr>
        <w:t>食</w:t>
      </w:r>
      <w:r>
        <w:rPr>
          <w:rFonts w:hint="eastAsia" w:ascii="仿宋_GB2312" w:hAnsi="仿宋_GB2312" w:eastAsia="仿宋_GB2312" w:cs="仿宋_GB2312"/>
          <w:sz w:val="32"/>
          <w:szCs w:val="32"/>
          <w:lang w:eastAsia="zh-CN"/>
        </w:rPr>
        <w:t>药</w:t>
      </w:r>
      <w:r>
        <w:rPr>
          <w:rFonts w:hint="eastAsia" w:ascii="仿宋_GB2312" w:hAnsi="仿宋_GB2312" w:eastAsia="仿宋_GB2312" w:cs="仿宋_GB2312"/>
          <w:sz w:val="32"/>
          <w:szCs w:val="32"/>
        </w:rPr>
        <w:t>安办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定期组织对各</w:t>
      </w:r>
      <w:r>
        <w:rPr>
          <w:rFonts w:hint="eastAsia" w:ascii="仿宋_GB2312" w:hAnsi="仿宋_GB2312" w:eastAsia="仿宋_GB2312" w:cs="仿宋_GB2312"/>
          <w:sz w:val="32"/>
          <w:szCs w:val="32"/>
          <w:lang w:eastAsia="zh-CN"/>
        </w:rPr>
        <w:t>办事处</w:t>
      </w:r>
      <w:r>
        <w:rPr>
          <w:rFonts w:hint="eastAsia" w:ascii="仿宋_GB2312" w:hAnsi="仿宋_GB2312" w:eastAsia="仿宋_GB2312" w:cs="仿宋_GB2312"/>
          <w:sz w:val="32"/>
          <w:szCs w:val="32"/>
        </w:rPr>
        <w:t>、各有关成员单位应急预案执行情况进行监督检查，督促</w:t>
      </w:r>
      <w:r>
        <w:rPr>
          <w:rFonts w:hint="eastAsia" w:ascii="仿宋_GB2312" w:hAnsi="仿宋_GB2312" w:eastAsia="仿宋_GB2312" w:cs="仿宋_GB2312"/>
          <w:sz w:val="32"/>
          <w:szCs w:val="32"/>
          <w:lang w:eastAsia="zh-CN"/>
        </w:rPr>
        <w:t>各办事处</w:t>
      </w:r>
      <w:r>
        <w:rPr>
          <w:rFonts w:hint="eastAsia" w:ascii="仿宋_GB2312" w:hAnsi="仿宋_GB2312" w:eastAsia="仿宋_GB2312" w:cs="仿宋_GB2312"/>
          <w:sz w:val="32"/>
          <w:szCs w:val="32"/>
        </w:rPr>
        <w:t>和有关成员单位对应急工作中存在的问题进行整改。对在食品安全事故应急管理和处置工作中作出突出贡献的单位和个人，应当按照有关规定给予表彰或者奖励。</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6.2.2责任追究</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对迟报、谎报、瞒报和漏报食品安全事故重要情况或应急管理工作中有其他失职、渎职行为的，依法交有关部门追究有关责任单位或责任人的责任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构成犯罪的，移交司法机关追究刑事责任</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6.3总结</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食品安全事故善后处置工作结束后，指挥部办公室应当组织有关部门及时对食品安全事故和应急处置工作进行总结，分析事故原因和影响因素，评估应急处置工作开展情况和效果，提出对类似事故的防范和处置建议，完成总结报告。总结报告形成后，应当按规定向本级政府及上级食</w:t>
      </w:r>
      <w:r>
        <w:rPr>
          <w:rFonts w:hint="eastAsia" w:ascii="仿宋_GB2312" w:hAnsi="仿宋_GB2312" w:eastAsia="仿宋_GB2312" w:cs="仿宋_GB2312"/>
          <w:sz w:val="32"/>
          <w:szCs w:val="32"/>
          <w:lang w:eastAsia="zh-CN"/>
        </w:rPr>
        <w:t>药</w:t>
      </w:r>
      <w:r>
        <w:rPr>
          <w:rFonts w:hint="eastAsia" w:ascii="仿宋_GB2312" w:hAnsi="仿宋_GB2312" w:eastAsia="仿宋_GB2312" w:cs="仿宋_GB2312"/>
          <w:sz w:val="32"/>
          <w:szCs w:val="32"/>
        </w:rPr>
        <w:t>安办报告</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7.附则</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7.1名词术语</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食品安全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食品无毒、无害、符合应当有的营养要求，对人体健康不造成任何急性、亚急性或者慢性危害。</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食物中毒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食用了被有毒有害物质污染的食品或者食用了含有毒有害物质的食品后出现的急性、亚急性疾病</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食源性疾病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食品中致病因素进入人体引起的感染性、中毒性等疾病。</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本预案有关数量的表述，“以上”含本数，“以下”不含本数。</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7.2预案管理与更新</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与食品安全事故处置有关的法律法规被修订，部门职责或应急资源发生变化，应急预案在实施过程中出现新情况或新问题时，根据实际情况变化，及时修订与完善本预案。</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各办事处、管委会各内设机构、各分支机构</w:t>
      </w:r>
      <w:r>
        <w:rPr>
          <w:rFonts w:hint="eastAsia" w:ascii="仿宋_GB2312" w:hAnsi="仿宋_GB2312" w:eastAsia="仿宋_GB2312" w:cs="仿宋_GB2312"/>
          <w:sz w:val="32"/>
          <w:szCs w:val="32"/>
        </w:rPr>
        <w:t>按照本预案的规定履行职责，制定相应的应急预案。</w:t>
      </w:r>
      <w:r>
        <w:rPr>
          <w:rFonts w:hint="eastAsia" w:ascii="仿宋_GB2312" w:hAnsi="仿宋_GB2312" w:eastAsia="仿宋_GB2312" w:cs="仿宋_GB2312"/>
          <w:sz w:val="32"/>
          <w:szCs w:val="32"/>
          <w:lang w:eastAsia="zh-CN"/>
        </w:rPr>
        <w:t>相应的</w:t>
      </w:r>
      <w:r>
        <w:rPr>
          <w:rFonts w:hint="eastAsia" w:ascii="仿宋_GB2312" w:hAnsi="仿宋_GB2312" w:eastAsia="仿宋_GB2312" w:cs="仿宋_GB2312"/>
          <w:sz w:val="32"/>
          <w:szCs w:val="32"/>
        </w:rPr>
        <w:t>食品安全事故应急预案对食品安全事故的分级应当与本预案一致。</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7.3演习演练</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有关部门要定期或不定期开展食品安全事故应急演练，以检验和强化应急准备和应急响应能力，并通过对学习演练的总结评估，完善应急预案。原则上每2年至少开展1次应急演练。有关应急演练评估报告，应报</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市场监管</w:t>
      </w:r>
      <w:r>
        <w:rPr>
          <w:rFonts w:hint="eastAsia" w:ascii="仿宋_GB2312" w:hAnsi="仿宋_GB2312" w:eastAsia="仿宋_GB2312" w:cs="仿宋_GB2312"/>
          <w:sz w:val="32"/>
          <w:szCs w:val="32"/>
          <w:lang w:eastAsia="zh-CN"/>
        </w:rPr>
        <w:t>部（区</w:t>
      </w:r>
      <w:r>
        <w:rPr>
          <w:rFonts w:hint="eastAsia" w:ascii="仿宋_GB2312" w:hAnsi="仿宋_GB2312" w:eastAsia="仿宋_GB2312" w:cs="仿宋_GB2312"/>
          <w:sz w:val="32"/>
          <w:szCs w:val="32"/>
        </w:rPr>
        <w:t>食</w:t>
      </w:r>
      <w:r>
        <w:rPr>
          <w:rFonts w:hint="eastAsia" w:ascii="仿宋_GB2312" w:hAnsi="仿宋_GB2312" w:eastAsia="仿宋_GB2312" w:cs="仿宋_GB2312"/>
          <w:sz w:val="32"/>
          <w:szCs w:val="32"/>
          <w:lang w:eastAsia="zh-CN"/>
        </w:rPr>
        <w:t>药</w:t>
      </w:r>
      <w:r>
        <w:rPr>
          <w:rFonts w:hint="eastAsia" w:ascii="仿宋_GB2312" w:hAnsi="仿宋_GB2312" w:eastAsia="仿宋_GB2312" w:cs="仿宋_GB2312"/>
          <w:sz w:val="32"/>
          <w:szCs w:val="32"/>
        </w:rPr>
        <w:t>安办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和有关部门。有关企事业单位应当根据实际，定期或不定期组织本单位的应急救援演习演练。</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7.4预案实施</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本预案自发布之日起施行。</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left"/>
        <w:textAlignment w:val="auto"/>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rPr>
        <w:t>附件</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1.食品安全事故分级及响应标准</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319" w:leftChars="152" w:firstLine="1280" w:firstLineChars="400"/>
        <w:jc w:val="left"/>
        <w:textAlignment w:val="auto"/>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rPr>
        <w:t>2.聊城</w:t>
      </w:r>
      <w:r>
        <w:rPr>
          <w:rFonts w:hint="eastAsia" w:ascii="仿宋_GB2312" w:hAnsi="仿宋_GB2312" w:eastAsia="仿宋_GB2312" w:cs="仿宋_GB2312"/>
          <w:w w:val="100"/>
          <w:sz w:val="32"/>
          <w:szCs w:val="32"/>
          <w:lang w:eastAsia="zh-CN"/>
        </w:rPr>
        <w:t>经济技术开发区</w:t>
      </w:r>
      <w:r>
        <w:rPr>
          <w:rFonts w:hint="eastAsia" w:ascii="仿宋_GB2312" w:hAnsi="仿宋_GB2312" w:eastAsia="仿宋_GB2312" w:cs="仿宋_GB2312"/>
          <w:w w:val="100"/>
          <w:sz w:val="32"/>
          <w:szCs w:val="32"/>
        </w:rPr>
        <w:t>食品安全事故应急处置</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319" w:leftChars="152" w:firstLine="1600" w:firstLineChars="500"/>
        <w:jc w:val="left"/>
        <w:textAlignment w:val="auto"/>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rPr>
        <w:t>指挥部成员单位职责</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319" w:leftChars="152" w:firstLine="1280" w:firstLineChars="400"/>
        <w:jc w:val="left"/>
        <w:textAlignment w:val="auto"/>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rPr>
        <w:t>3.聊城</w:t>
      </w:r>
      <w:r>
        <w:rPr>
          <w:rFonts w:hint="eastAsia" w:ascii="仿宋_GB2312" w:hAnsi="仿宋_GB2312" w:eastAsia="仿宋_GB2312" w:cs="仿宋_GB2312"/>
          <w:w w:val="100"/>
          <w:sz w:val="32"/>
          <w:szCs w:val="32"/>
          <w:lang w:eastAsia="zh-CN"/>
        </w:rPr>
        <w:t>经济技术开发区Ⅳ级</w:t>
      </w:r>
      <w:r>
        <w:rPr>
          <w:rFonts w:hint="eastAsia" w:ascii="仿宋_GB2312" w:hAnsi="仿宋_GB2312" w:eastAsia="仿宋_GB2312" w:cs="仿宋_GB2312"/>
          <w:w w:val="100"/>
          <w:sz w:val="32"/>
          <w:szCs w:val="32"/>
        </w:rPr>
        <w:t>食品安全事故处置</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1920" w:firstLineChars="600"/>
        <w:jc w:val="left"/>
        <w:textAlignment w:val="auto"/>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rPr>
        <w:t>流程图</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1600" w:firstLineChars="500"/>
        <w:jc w:val="left"/>
        <w:textAlignment w:val="auto"/>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rPr>
        <w:t>4.聊城</w:t>
      </w:r>
      <w:r>
        <w:rPr>
          <w:rFonts w:hint="eastAsia" w:ascii="仿宋_GB2312" w:hAnsi="仿宋_GB2312" w:eastAsia="仿宋_GB2312" w:cs="仿宋_GB2312"/>
          <w:w w:val="100"/>
          <w:sz w:val="32"/>
          <w:szCs w:val="32"/>
          <w:lang w:eastAsia="zh-CN"/>
        </w:rPr>
        <w:t>经济技术开发区</w:t>
      </w:r>
      <w:r>
        <w:rPr>
          <w:rFonts w:hint="eastAsia" w:ascii="仿宋_GB2312" w:hAnsi="仿宋_GB2312" w:eastAsia="仿宋_GB2312" w:cs="仿宋_GB2312"/>
          <w:w w:val="100"/>
          <w:sz w:val="32"/>
          <w:szCs w:val="32"/>
        </w:rPr>
        <w:t>食品安全事故报告表</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初报</w:t>
      </w:r>
      <w:r>
        <w:rPr>
          <w:rFonts w:hint="eastAsia" w:ascii="仿宋_GB2312" w:hAnsi="仿宋_GB2312" w:eastAsia="仿宋_GB2312" w:cs="仿宋_GB2312"/>
          <w:w w:val="100"/>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1600" w:firstLineChars="500"/>
        <w:jc w:val="left"/>
        <w:textAlignment w:val="auto"/>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rPr>
        <w:t>5.聊城</w:t>
      </w:r>
      <w:r>
        <w:rPr>
          <w:rFonts w:hint="eastAsia" w:ascii="仿宋_GB2312" w:hAnsi="仿宋_GB2312" w:eastAsia="仿宋_GB2312" w:cs="仿宋_GB2312"/>
          <w:w w:val="100"/>
          <w:sz w:val="32"/>
          <w:szCs w:val="32"/>
          <w:lang w:eastAsia="zh-CN"/>
        </w:rPr>
        <w:t>经济技术开发区</w:t>
      </w:r>
      <w:r>
        <w:rPr>
          <w:rFonts w:hint="eastAsia" w:ascii="仿宋_GB2312" w:hAnsi="仿宋_GB2312" w:eastAsia="仿宋_GB2312" w:cs="仿宋_GB2312"/>
          <w:w w:val="100"/>
          <w:sz w:val="32"/>
          <w:szCs w:val="32"/>
        </w:rPr>
        <w:t>食品安全事故报告表</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续报</w:t>
      </w:r>
      <w:r>
        <w:rPr>
          <w:rFonts w:hint="eastAsia" w:ascii="仿宋_GB2312" w:hAnsi="仿宋_GB2312" w:eastAsia="仿宋_GB2312" w:cs="仿宋_GB2312"/>
          <w:w w:val="100"/>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1600" w:firstLineChars="500"/>
        <w:jc w:val="left"/>
        <w:textAlignment w:val="auto"/>
        <w:rPr>
          <w:rFonts w:hint="eastAsia" w:ascii="黑体" w:hAnsi="黑体" w:eastAsia="黑体" w:cs="黑体"/>
          <w:b w:val="0"/>
          <w:bCs w:val="0"/>
          <w:sz w:val="32"/>
          <w:szCs w:val="32"/>
          <w:lang w:val="en-US" w:eastAsia="zh-CN"/>
        </w:rPr>
      </w:pPr>
      <w:r>
        <w:rPr>
          <w:rFonts w:hint="eastAsia" w:ascii="仿宋_GB2312" w:hAnsi="仿宋_GB2312" w:eastAsia="仿宋_GB2312" w:cs="仿宋_GB2312"/>
          <w:w w:val="100"/>
          <w:sz w:val="32"/>
          <w:szCs w:val="32"/>
        </w:rPr>
        <w:t>6.聊城</w:t>
      </w:r>
      <w:r>
        <w:rPr>
          <w:rFonts w:hint="eastAsia" w:ascii="仿宋_GB2312" w:hAnsi="仿宋_GB2312" w:eastAsia="仿宋_GB2312" w:cs="仿宋_GB2312"/>
          <w:w w:val="100"/>
          <w:sz w:val="32"/>
          <w:szCs w:val="32"/>
          <w:lang w:eastAsia="zh-CN"/>
        </w:rPr>
        <w:t>经济技术开发区</w:t>
      </w:r>
      <w:r>
        <w:rPr>
          <w:rFonts w:hint="eastAsia" w:ascii="仿宋_GB2312" w:hAnsi="仿宋_GB2312" w:eastAsia="仿宋_GB2312" w:cs="仿宋_GB2312"/>
          <w:w w:val="100"/>
          <w:sz w:val="32"/>
          <w:szCs w:val="32"/>
        </w:rPr>
        <w:t>食品安全事故报告表</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终报</w:t>
      </w:r>
      <w:r>
        <w:rPr>
          <w:rFonts w:hint="eastAsia" w:ascii="仿宋_GB2312" w:hAnsi="仿宋_GB2312" w:eastAsia="仿宋_GB2312" w:cs="仿宋_GB2312"/>
          <w:w w:val="100"/>
          <w:sz w:val="32"/>
          <w:szCs w:val="32"/>
          <w:lang w:eastAsia="zh-CN"/>
        </w:rPr>
        <w:t>）</w:t>
      </w:r>
    </w:p>
    <w:p>
      <w:pP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jc w:val="left"/>
        <w:textAlignment w:val="auto"/>
        <w:rPr>
          <w:rFonts w:hint="eastAsia"/>
          <w:lang w:val="en-US" w:eastAsia="zh-CN"/>
        </w:rPr>
      </w:pPr>
      <w:r>
        <w:rPr>
          <w:rFonts w:hint="eastAsia" w:ascii="黑体" w:hAnsi="黑体" w:eastAsia="黑体" w:cs="黑体"/>
          <w:b w:val="0"/>
          <w:bCs w:val="0"/>
          <w:sz w:val="32"/>
          <w:szCs w:val="32"/>
          <w:lang w:val="en-US" w:eastAsia="zh-CN"/>
        </w:rPr>
        <w:t>附件1</w:t>
      </w:r>
    </w:p>
    <w:p>
      <w:pPr>
        <w:pStyle w:val="3"/>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食品安全事故分级及响应标准</w:t>
      </w:r>
    </w:p>
    <w:tbl>
      <w:tblPr>
        <w:tblStyle w:val="9"/>
        <w:tblW w:w="8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9"/>
        <w:gridCol w:w="5009"/>
        <w:gridCol w:w="1245"/>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29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事故分级</w:t>
            </w:r>
          </w:p>
        </w:tc>
        <w:tc>
          <w:tcPr>
            <w:tcW w:w="5009"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1440" w:firstLineChars="600"/>
              <w:jc w:val="both"/>
              <w:textAlignment w:val="auto"/>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评 估 指 标</w:t>
            </w: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应急响应</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启动级别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trPr>
        <w:tc>
          <w:tcPr>
            <w:tcW w:w="1299"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280" w:firstLineChars="100"/>
              <w:jc w:val="both"/>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I级</w:t>
            </w:r>
          </w:p>
        </w:tc>
        <w:tc>
          <w:tcPr>
            <w:tcW w:w="50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符合下列条件之一者：</w:t>
            </w:r>
          </w:p>
          <w:p>
            <w:pPr>
              <w:keepNext w:val="0"/>
              <w:keepLines w:val="0"/>
              <w:pageBreakBefore w:val="0"/>
              <w:widowControl w:val="0"/>
              <w:kinsoku/>
              <w:wordWrap/>
              <w:overflowPunct/>
              <w:topLinePunct w:val="0"/>
              <w:autoSpaceDE/>
              <w:autoSpaceDN/>
              <w:bidi w:val="0"/>
              <w:adjustRightInd/>
              <w:snapToGrid/>
              <w:spacing w:line="300" w:lineRule="exact"/>
              <w:ind w:firstLine="560" w:firstLineChars="200"/>
              <w:jc w:val="lef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（1）事故影响范围涉及2个以上省份或国（境）外（含港澳台地区），造成特别严重健康损害后果的：或经评估认为事故危害特别严重的。</w:t>
            </w:r>
          </w:p>
          <w:p>
            <w:pPr>
              <w:keepNext w:val="0"/>
              <w:keepLines w:val="0"/>
              <w:pageBreakBefore w:val="0"/>
              <w:widowControl w:val="0"/>
              <w:kinsoku/>
              <w:wordWrap/>
              <w:overflowPunct/>
              <w:topLinePunct w:val="0"/>
              <w:autoSpaceDE/>
              <w:autoSpaceDN/>
              <w:bidi w:val="0"/>
              <w:adjustRightInd/>
              <w:snapToGrid/>
              <w:spacing w:line="300" w:lineRule="exact"/>
              <w:ind w:firstLine="560" w:firstLineChars="200"/>
              <w:jc w:val="lef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（2）国务院认定的其他I级食品安全事故</w:t>
            </w: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I级响应</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280" w:firstLineChars="100"/>
              <w:jc w:val="both"/>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国家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trPr>
        <w:tc>
          <w:tcPr>
            <w:tcW w:w="129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Ⅱ级</w:t>
            </w:r>
          </w:p>
        </w:tc>
        <w:tc>
          <w:tcPr>
            <w:tcW w:w="50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符合下列条件之一者：</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560" w:firstLineChars="200"/>
              <w:jc w:val="lef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（1）事故影响范围涉及2个以上地市，造成或经评估认为可能造成对社会公众健康产生严重损害的食物中毒或食源性疾病的；</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560" w:firstLineChars="200"/>
              <w:jc w:val="lef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（2）事故造成伤害人数在100人以上并出现死亡病例的或造成10人以上死亡的；</w:t>
            </w:r>
          </w:p>
          <w:p>
            <w:pPr>
              <w:keepNext w:val="0"/>
              <w:keepLines w:val="0"/>
              <w:pageBreakBefore w:val="0"/>
              <w:widowControl w:val="0"/>
              <w:kinsoku/>
              <w:wordWrap/>
              <w:overflowPunct/>
              <w:topLinePunct w:val="0"/>
              <w:autoSpaceDE/>
              <w:autoSpaceDN/>
              <w:bidi w:val="0"/>
              <w:adjustRightInd/>
              <w:snapToGrid/>
              <w:spacing w:line="300" w:lineRule="exact"/>
              <w:ind w:firstLine="560" w:firstLineChars="200"/>
              <w:jc w:val="lef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（3）发现在我国首次出现的新污染物引起的食源性疾病，造成严重健康损害后果，并有扩散趋势的；</w:t>
            </w:r>
          </w:p>
          <w:p>
            <w:pPr>
              <w:keepNext w:val="0"/>
              <w:keepLines w:val="0"/>
              <w:pageBreakBefore w:val="0"/>
              <w:widowControl w:val="0"/>
              <w:kinsoku/>
              <w:wordWrap/>
              <w:overflowPunct/>
              <w:topLinePunct w:val="0"/>
              <w:autoSpaceDE/>
              <w:autoSpaceDN/>
              <w:bidi w:val="0"/>
              <w:adjustRightInd/>
              <w:snapToGrid/>
              <w:spacing w:line="300" w:lineRule="exact"/>
              <w:ind w:firstLine="560" w:firstLineChars="200"/>
              <w:jc w:val="lef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（4）省级以上人民政府认定的其他Ⅱ级食品安全本故。</w:t>
            </w: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Ⅱ级响应</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280" w:firstLineChars="100"/>
              <w:jc w:val="both"/>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trPr>
        <w:tc>
          <w:tcPr>
            <w:tcW w:w="129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Ⅲ级</w:t>
            </w:r>
          </w:p>
        </w:tc>
        <w:tc>
          <w:tcPr>
            <w:tcW w:w="50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符合下列条件之一者：</w:t>
            </w:r>
          </w:p>
          <w:p>
            <w:pPr>
              <w:keepNext w:val="0"/>
              <w:keepLines w:val="0"/>
              <w:pageBreakBefore w:val="0"/>
              <w:widowControl w:val="0"/>
              <w:kinsoku/>
              <w:wordWrap/>
              <w:overflowPunct/>
              <w:topLinePunct w:val="0"/>
              <w:autoSpaceDE/>
              <w:autoSpaceDN/>
              <w:bidi w:val="0"/>
              <w:adjustRightInd/>
              <w:snapToGrid/>
              <w:spacing w:line="300" w:lineRule="exact"/>
              <w:ind w:firstLine="560" w:firstLineChars="200"/>
              <w:jc w:val="lef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（1）事故影响范围涉及2个以上县（市、区），造成严重健康损害后果的；</w:t>
            </w:r>
          </w:p>
          <w:p>
            <w:pPr>
              <w:keepNext w:val="0"/>
              <w:keepLines w:val="0"/>
              <w:pageBreakBefore w:val="0"/>
              <w:widowControl w:val="0"/>
              <w:kinsoku/>
              <w:wordWrap/>
              <w:overflowPunct/>
              <w:topLinePunct w:val="0"/>
              <w:autoSpaceDE/>
              <w:autoSpaceDN/>
              <w:bidi w:val="0"/>
              <w:adjustRightInd/>
              <w:snapToGrid/>
              <w:spacing w:line="300" w:lineRule="exact"/>
              <w:ind w:firstLine="560" w:firstLineChars="200"/>
              <w:jc w:val="lef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（2）事故造成伤害人数在100人以上的：或出现死亡病例10人以下的；</w:t>
            </w:r>
          </w:p>
          <w:p>
            <w:pPr>
              <w:keepNext w:val="0"/>
              <w:keepLines w:val="0"/>
              <w:pageBreakBefore w:val="0"/>
              <w:widowControl w:val="0"/>
              <w:kinsoku/>
              <w:wordWrap/>
              <w:overflowPunct/>
              <w:topLinePunct w:val="0"/>
              <w:autoSpaceDE/>
              <w:autoSpaceDN/>
              <w:bidi w:val="0"/>
              <w:adjustRightInd/>
              <w:snapToGrid/>
              <w:spacing w:line="300" w:lineRule="exact"/>
              <w:ind w:firstLine="560" w:firstLineChars="200"/>
              <w:jc w:val="lef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（3）市级以上人民政府认定的其他Ⅲ级食品安全事故。</w:t>
            </w: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Ⅲ级响应</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280" w:firstLineChars="100"/>
              <w:jc w:val="both"/>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trPr>
        <w:tc>
          <w:tcPr>
            <w:tcW w:w="129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Ⅳ级</w:t>
            </w:r>
          </w:p>
        </w:tc>
        <w:tc>
          <w:tcPr>
            <w:tcW w:w="50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符合下列条件之一者：</w:t>
            </w:r>
          </w:p>
          <w:p>
            <w:pPr>
              <w:keepNext w:val="0"/>
              <w:keepLines w:val="0"/>
              <w:pageBreakBefore w:val="0"/>
              <w:widowControl w:val="0"/>
              <w:kinsoku/>
              <w:wordWrap/>
              <w:overflowPunct/>
              <w:topLinePunct w:val="0"/>
              <w:autoSpaceDE/>
              <w:autoSpaceDN/>
              <w:bidi w:val="0"/>
              <w:adjustRightInd/>
              <w:snapToGrid/>
              <w:spacing w:line="300" w:lineRule="exact"/>
              <w:ind w:firstLine="560" w:firstLineChars="200"/>
              <w:jc w:val="lef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（1）事故影响范围涉及县级行政区域内2个以上乡镇，造成严重健康损害后果的；</w:t>
            </w:r>
          </w:p>
          <w:p>
            <w:pPr>
              <w:keepNext w:val="0"/>
              <w:keepLines w:val="0"/>
              <w:pageBreakBefore w:val="0"/>
              <w:widowControl w:val="0"/>
              <w:kinsoku/>
              <w:wordWrap/>
              <w:overflowPunct/>
              <w:topLinePunct w:val="0"/>
              <w:autoSpaceDE/>
              <w:autoSpaceDN/>
              <w:bidi w:val="0"/>
              <w:adjustRightInd/>
              <w:snapToGrid/>
              <w:spacing w:line="300" w:lineRule="exact"/>
              <w:ind w:firstLine="560" w:firstLineChars="200"/>
              <w:jc w:val="lef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（2）事故造成伤害人数在99人以下，且未出现死亡病例的；</w:t>
            </w:r>
          </w:p>
          <w:p>
            <w:pPr>
              <w:keepNext w:val="0"/>
              <w:keepLines w:val="0"/>
              <w:pageBreakBefore w:val="0"/>
              <w:widowControl w:val="0"/>
              <w:kinsoku/>
              <w:wordWrap/>
              <w:overflowPunct/>
              <w:topLinePunct w:val="0"/>
              <w:autoSpaceDE/>
              <w:autoSpaceDN/>
              <w:bidi w:val="0"/>
              <w:adjustRightInd/>
              <w:snapToGrid/>
              <w:spacing w:line="300" w:lineRule="exact"/>
              <w:ind w:firstLine="560" w:firstLineChars="200"/>
              <w:jc w:val="lef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（3）县级以上人民政府认定的其他Ⅳ级食品安全事故。</w:t>
            </w: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Ⅳ级响应</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280" w:firstLineChars="100"/>
              <w:jc w:val="both"/>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区级</w:t>
            </w:r>
          </w:p>
        </w:tc>
      </w:tr>
    </w:tbl>
    <w:p>
      <w:pPr>
        <w:keepNext w:val="0"/>
        <w:keepLines w:val="0"/>
        <w:pageBreakBefore w:val="0"/>
        <w:widowControl w:val="0"/>
        <w:kinsoku/>
        <w:wordWrap/>
        <w:overflowPunct/>
        <w:topLinePunct w:val="0"/>
        <w:autoSpaceDE/>
        <w:autoSpaceDN/>
        <w:bidi w:val="0"/>
        <w:adjustRightInd/>
        <w:snapToGrid/>
        <w:spacing w:line="576" w:lineRule="exact"/>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76" w:lineRule="exact"/>
        <w:ind w:firstLine="880" w:firstLineChars="200"/>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880" w:firstLineChars="200"/>
        <w:jc w:val="both"/>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聊城经济技术开发区食品安全事故</w:t>
      </w:r>
    </w:p>
    <w:p>
      <w:pPr>
        <w:keepNext w:val="0"/>
        <w:keepLines w:val="0"/>
        <w:pageBreakBefore w:val="0"/>
        <w:widowControl w:val="0"/>
        <w:kinsoku/>
        <w:wordWrap/>
        <w:overflowPunct/>
        <w:topLinePunct w:val="0"/>
        <w:autoSpaceDE/>
        <w:autoSpaceDN/>
        <w:bidi w:val="0"/>
        <w:adjustRightInd/>
        <w:snapToGrid/>
        <w:spacing w:line="576" w:lineRule="exact"/>
        <w:ind w:firstLine="1320" w:firstLineChars="300"/>
        <w:jc w:val="both"/>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应急处置指挥部成员单位职责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sz w:val="32"/>
          <w:szCs w:val="32"/>
          <w:lang w:val="en-US" w:eastAsia="zh-CN"/>
        </w:rPr>
        <w:t>宣传办公室：</w:t>
      </w:r>
      <w:r>
        <w:rPr>
          <w:rFonts w:hint="eastAsia" w:ascii="仿宋_GB2312" w:hAnsi="仿宋_GB2312" w:eastAsia="仿宋_GB2312" w:cs="仿宋_GB2312"/>
          <w:color w:val="auto"/>
          <w:sz w:val="32"/>
          <w:szCs w:val="32"/>
          <w:lang w:val="en-US" w:eastAsia="zh-CN"/>
        </w:rPr>
        <w:t>负责制定较大食品安全事故宣传工作方案，指导协调新闻媒体做好宣传报道和舆论引导，指导事故调查处置部门及时发布权威消息；负责互联网信息管理和网络舆情监测、舆情引导；负责协助有关食品安全监管部门，做好旅游景区（点）、旅游星级饭店食品安全事故的应急处理和救援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党群工作部：</w:t>
      </w:r>
      <w:r>
        <w:rPr>
          <w:rFonts w:hint="eastAsia" w:ascii="仿宋_GB2312" w:hAnsi="仿宋_GB2312" w:eastAsia="仿宋_GB2312" w:cs="仿宋_GB2312"/>
          <w:sz w:val="32"/>
          <w:szCs w:val="32"/>
          <w:lang w:val="en-US" w:eastAsia="zh-CN"/>
        </w:rPr>
        <w:t>负责对清真食品生产、经营活动是否符合《山东省清真食品管理规定》进行监督检查，配合有关部门对违反《山东省清真食品管理规定》的行为进行调查处理，采取措施防止因清真食品引发的社会矛盾，维护社会稳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经济发展部：</w:t>
      </w:r>
      <w:r>
        <w:rPr>
          <w:rFonts w:hint="eastAsia" w:ascii="仿宋_GB2312" w:hAnsi="仿宋_GB2312" w:eastAsia="仿宋_GB2312" w:cs="仿宋_GB2312"/>
          <w:sz w:val="32"/>
          <w:szCs w:val="32"/>
          <w:lang w:val="en-US" w:eastAsia="zh-CN"/>
        </w:rPr>
        <w:t>负责粮食收购、储存环节和政策性用粮购销活动中发生的粮食安全事故的应急处置和违法行为的调查处理；封存可能导致食品安全事故的粮食；对确认属于被污染的粮食，依法处理；对食品安全保障关键技术研发提供支撑，与有关部门协同为食品安全事故处置提供技术保障；负责协助乳品、转基因食品、酒类和食盐等特定食品工业中食品安全事故的调查和应急处置；协助食品安全事故应急处置所需设备、装备及相关产品的保障供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教体分局：</w:t>
      </w:r>
      <w:r>
        <w:rPr>
          <w:rFonts w:hint="eastAsia" w:ascii="仿宋_GB2312" w:hAnsi="仿宋_GB2312" w:eastAsia="仿宋_GB2312" w:cs="仿宋_GB2312"/>
          <w:sz w:val="32"/>
          <w:szCs w:val="32"/>
          <w:lang w:val="en-US" w:eastAsia="zh-CN"/>
        </w:rPr>
        <w:t>负责配合有关监管部门对学校食堂、学校内食品经营单位发生或学生在校集体用餐造成的食品安全事故进行调查及组织应急处理。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公安分局：</w:t>
      </w:r>
      <w:r>
        <w:rPr>
          <w:rFonts w:hint="eastAsia" w:ascii="仿宋_GB2312" w:hAnsi="仿宋_GB2312" w:eastAsia="仿宋_GB2312" w:cs="仿宋_GB2312"/>
          <w:sz w:val="32"/>
          <w:szCs w:val="32"/>
          <w:lang w:val="en-US" w:eastAsia="zh-CN"/>
        </w:rPr>
        <w:t>负责督促、指导涉案地公安机关对食品安全事故中涉嫌犯罪行为的侦查工作。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发展保障部：</w:t>
      </w:r>
      <w:r>
        <w:rPr>
          <w:rFonts w:hint="eastAsia" w:ascii="仿宋_GB2312" w:hAnsi="仿宋_GB2312" w:eastAsia="仿宋_GB2312" w:cs="仿宋_GB2312"/>
          <w:sz w:val="32"/>
          <w:szCs w:val="32"/>
          <w:lang w:val="en-US" w:eastAsia="zh-CN"/>
        </w:rPr>
        <w:t>负责协助做好受食品安全事故影响的群众生活救助工作。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财政金融部：</w:t>
      </w:r>
      <w:r>
        <w:rPr>
          <w:rFonts w:hint="eastAsia" w:ascii="仿宋_GB2312" w:hAnsi="仿宋_GB2312" w:eastAsia="仿宋_GB2312" w:cs="仿宋_GB2312"/>
          <w:sz w:val="32"/>
          <w:szCs w:val="32"/>
          <w:lang w:val="en-US" w:eastAsia="zh-CN"/>
        </w:rPr>
        <w:t>负责食品安全事故应急处置等工作所需资金的保障和管理，并对资金使用情况进行监督。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自然资源和规划分局：</w:t>
      </w:r>
      <w:r>
        <w:rPr>
          <w:rFonts w:hint="eastAsia" w:ascii="仿宋_GB2312" w:hAnsi="仿宋_GB2312" w:eastAsia="仿宋_GB2312" w:cs="仿宋_GB2312"/>
          <w:sz w:val="32"/>
          <w:szCs w:val="32"/>
          <w:lang w:val="en-US" w:eastAsia="zh-CN"/>
        </w:rPr>
        <w:t>负责食用林产品（含干果和管辖范围内的水果）从种植环节到进入批发、零售市场或生产加工企业前及初加工环节的食品安全事故的具体调查处理，并依法采取必要的应急处置措施，防止或者减轻社会危害。负责组织开展食用林产品（含干果和管辖范围内的水果）相关检测和风险评估，提出相关评估结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生态环境分局：</w:t>
      </w:r>
      <w:r>
        <w:rPr>
          <w:rFonts w:hint="eastAsia" w:ascii="仿宋_GB2312" w:hAnsi="仿宋_GB2312" w:eastAsia="仿宋_GB2312" w:cs="仿宋_GB2312"/>
          <w:sz w:val="32"/>
          <w:szCs w:val="32"/>
          <w:lang w:val="en-US" w:eastAsia="zh-CN"/>
        </w:rPr>
        <w:t>负责组织指导造成食品安全事故的环境污染事件的调查处置工作；指导协调县级政府开展环境污染处置；对造成食品安全事故的环境违法行为追究相应责任。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建设管理部：</w:t>
      </w:r>
      <w:r>
        <w:rPr>
          <w:rFonts w:hint="eastAsia" w:ascii="仿宋_GB2312" w:hAnsi="仿宋_GB2312" w:eastAsia="仿宋_GB2312" w:cs="仿宋_GB2312"/>
          <w:sz w:val="32"/>
          <w:szCs w:val="32"/>
          <w:lang w:val="en-US" w:eastAsia="zh-CN"/>
        </w:rPr>
        <w:t>负责协助有关监管部门做好建筑工地食堂食品安全事故的调查处理和应急处置，防止或者减轻社会危害。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农业农村分局：</w:t>
      </w:r>
      <w:r>
        <w:rPr>
          <w:rFonts w:hint="eastAsia" w:ascii="仿宋_GB2312" w:hAnsi="仿宋_GB2312" w:eastAsia="仿宋_GB2312" w:cs="仿宋_GB2312"/>
          <w:sz w:val="32"/>
          <w:szCs w:val="32"/>
          <w:lang w:val="en-US" w:eastAsia="zh-CN"/>
        </w:rPr>
        <w:t>负责食用农产品（不含干果和管辖范围外的水果）、食用畜禽及其产品、食用水产品从种植（养殖）环节到进入批发、零售市场或生产加工企业前的食品安全事故中的具体调查处理，并依法采取必要的应急处置措施，防止或者减轻社会危害；负责组织开展食用农产品、食用畜禽及其产品、食用水产品相关检测和风险评估，提出相关评估结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商务和投资促进部：</w:t>
      </w:r>
      <w:r>
        <w:rPr>
          <w:rFonts w:hint="eastAsia" w:ascii="仿宋_GB2312" w:hAnsi="仿宋_GB2312" w:eastAsia="仿宋_GB2312" w:cs="仿宋_GB2312"/>
          <w:sz w:val="32"/>
          <w:szCs w:val="32"/>
          <w:lang w:val="en-US" w:eastAsia="zh-CN"/>
        </w:rPr>
        <w:t>负责协助流通餐饮服务及进出口环节食品安全事故的调查处理；负责组织食品安全事故应急救援所需重要生活必需品的调配供应；负责涉外食品安全事故处置中外事政策指导。</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卫健管理办公室：</w:t>
      </w:r>
      <w:r>
        <w:rPr>
          <w:rFonts w:hint="eastAsia" w:ascii="仿宋_GB2312" w:hAnsi="仿宋_GB2312" w:eastAsia="仿宋_GB2312" w:cs="仿宋_GB2312"/>
          <w:sz w:val="32"/>
          <w:szCs w:val="32"/>
          <w:lang w:val="en-US" w:eastAsia="zh-CN"/>
        </w:rPr>
        <w:t>负责组织医疗救治；会同市场监管部组织开展相关监测，分析监测数据；提供相关标准解释；组织开展风险评估，提供相关评估结论。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应急管理处：</w:t>
      </w:r>
      <w:r>
        <w:rPr>
          <w:rFonts w:hint="eastAsia" w:ascii="仿宋_GB2312" w:hAnsi="仿宋_GB2312" w:eastAsia="仿宋_GB2312" w:cs="仿宋_GB2312"/>
          <w:sz w:val="32"/>
          <w:szCs w:val="32"/>
          <w:lang w:val="en-US" w:eastAsia="zh-CN"/>
        </w:rPr>
        <w:t>综合协调全区总体应急预案与食品安全事故应急预案的衔接工作。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市场监督管理部（区食药安办）：</w:t>
      </w:r>
      <w:r>
        <w:rPr>
          <w:rFonts w:hint="eastAsia" w:ascii="仿宋_GB2312" w:hAnsi="仿宋_GB2312" w:eastAsia="仿宋_GB2312" w:cs="仿宋_GB2312"/>
          <w:sz w:val="32"/>
          <w:szCs w:val="32"/>
          <w:lang w:val="en-US" w:eastAsia="zh-CN"/>
        </w:rPr>
        <w:t>负责指挥部办公室日常工作，落实办公室各项职责；组织、指导、监督、协调开展事故应急处置及事件调查；会同有关部门组织开展事故责任调查；负责食品生产、加工、销售、餐饮服务、食品相关产品环节食品安全事故中违法行为的调查处理，并依法采取必要的应急处置措施，防止或减轻社会危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各部门按照法定职责进行食品安全事故应急处置工作，同时有责任配合和协助其他部门做好食品安全事故应急处置工作。</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jc w:val="both"/>
        <w:textAlignment w:val="auto"/>
        <w:rPr>
          <w:rFonts w:hint="eastAsia" w:ascii="方正小标宋简体" w:hAnsi="方正小标宋简体" w:eastAsia="方正小标宋简体" w:cs="方正小标宋简体"/>
          <w:b w:val="0"/>
          <w:bCs w:val="0"/>
          <w:sz w:val="40"/>
          <w:szCs w:val="40"/>
          <w:vertAlign w:val="baseline"/>
          <w:lang w:val="en-US" w:eastAsia="zh-CN"/>
        </w:rPr>
      </w:pPr>
      <w:r>
        <w:rPr>
          <w:rFonts w:hint="eastAsia" w:ascii="方正小标宋简体" w:hAnsi="方正小标宋简体" w:eastAsia="方正小标宋简体" w:cs="方正小标宋简体"/>
          <w:b w:val="0"/>
          <w:bCs w:val="0"/>
          <w:sz w:val="40"/>
          <w:szCs w:val="40"/>
          <w:vertAlign w:val="baseline"/>
          <w:lang w:val="en-US" w:eastAsia="zh-CN"/>
        </w:rPr>
        <w:t>聊城经济技术开发区Ⅳ级食品安全</w:t>
      </w:r>
    </w:p>
    <w:p>
      <w:pPr>
        <w:keepNext w:val="0"/>
        <w:keepLines w:val="0"/>
        <w:pageBreakBefore w:val="0"/>
        <w:widowControl w:val="0"/>
        <w:kinsoku/>
        <w:wordWrap/>
        <w:overflowPunct/>
        <w:topLinePunct w:val="0"/>
        <w:autoSpaceDE/>
        <w:autoSpaceDN/>
        <w:bidi w:val="0"/>
        <w:adjustRightInd/>
        <w:snapToGrid/>
        <w:spacing w:line="600" w:lineRule="exact"/>
        <w:ind w:firstLine="2400" w:firstLineChars="600"/>
        <w:jc w:val="both"/>
        <w:textAlignment w:val="auto"/>
        <w:rPr>
          <w:rFonts w:hint="eastAsia" w:ascii="方正小标宋简体" w:hAnsi="方正小标宋简体" w:eastAsia="方正小标宋简体" w:cs="方正小标宋简体"/>
          <w:b w:val="0"/>
          <w:bCs w:val="0"/>
          <w:sz w:val="40"/>
          <w:szCs w:val="40"/>
          <w:vertAlign w:val="baseline"/>
          <w:lang w:val="en-US" w:eastAsia="zh-CN"/>
        </w:rPr>
      </w:pPr>
      <w:r>
        <w:rPr>
          <w:rFonts w:hint="eastAsia" w:ascii="方正小标宋简体" w:hAnsi="方正小标宋简体" w:eastAsia="方正小标宋简体" w:cs="方正小标宋简体"/>
          <w:b w:val="0"/>
          <w:bCs w:val="0"/>
          <w:sz w:val="40"/>
          <w:szCs w:val="40"/>
          <w:vertAlign w:val="baseline"/>
          <w:lang w:val="en-US" w:eastAsia="zh-CN"/>
        </w:rPr>
        <w:t>事故处置流程图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仿宋" w:hAnsi="仿宋" w:eastAsia="仿宋" w:cs="仿宋"/>
          <w:b/>
          <w:bCs/>
          <w:sz w:val="32"/>
          <w:szCs w:val="32"/>
          <w:vertAlign w:val="baseline"/>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column">
                  <wp:posOffset>2440940</wp:posOffset>
                </wp:positionH>
                <wp:positionV relativeFrom="paragraph">
                  <wp:posOffset>34290</wp:posOffset>
                </wp:positionV>
                <wp:extent cx="2908935" cy="500380"/>
                <wp:effectExtent l="5080" t="4445" r="19685" b="9525"/>
                <wp:wrapNone/>
                <wp:docPr id="7" name="文本框 7"/>
                <wp:cNvGraphicFramePr/>
                <a:graphic xmlns:a="http://schemas.openxmlformats.org/drawingml/2006/main">
                  <a:graphicData uri="http://schemas.microsoft.com/office/word/2010/wordprocessingShape">
                    <wps:wsp>
                      <wps:cNvSpPr txBox="1"/>
                      <wps:spPr>
                        <a:xfrm>
                          <a:off x="3583940" y="1741170"/>
                          <a:ext cx="2908935" cy="50038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eastAsia="zh-CN"/>
                              </w:rPr>
                              <w:t>开发区市场监督管理部（食药安办）按事发地食品安全事故报告</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2.2pt;margin-top:2.7pt;height:39.4pt;width:229.05pt;z-index:251662336;mso-width-relative:page;mso-height-relative:page;" fillcolor="#FFFFFF [3201]" filled="t" stroked="t" coordsize="21600,21600" o:gfxdata="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KpSs67VAAAACAEAAA8AAAAAAAAAAQAgAAAAIgAAAGRycy9kb3ducmV2LnhtbFBLAQIUABQA&#10;AAAIAIdO4kAnU6jgZQIAAMMEAAAOAAAAAAAAAAEAIAAAACQBAABkcnMvZTJvRG9jLnhtbFBLBQYA&#10;AAAABgAGAFkBAAD7BQAAAAA=&#10;">
                <v:fill on="t" focussize="0,0"/>
                <v:stroke weight="0.5pt" color="#000000 [3204]" joinstyle="round"/>
                <v:imagedata o:title=""/>
                <o:lock v:ext="edit" aspectratio="f"/>
                <v:textbox>
                  <w:txbxContent>
                    <w:p>
                      <w:pPr>
                        <w:rPr>
                          <w:rFonts w:hint="eastAsia" w:eastAsiaTheme="minorEastAsia"/>
                          <w:lang w:eastAsia="zh-CN"/>
                        </w:rPr>
                      </w:pPr>
                      <w:r>
                        <w:rPr>
                          <w:rFonts w:hint="eastAsia"/>
                          <w:lang w:eastAsia="zh-CN"/>
                        </w:rPr>
                        <w:t>开发区市场监督管理部（食药安办）按事发地食品安全事故报告</w:t>
                      </w:r>
                    </w:p>
                  </w:txbxContent>
                </v:textbox>
              </v:shape>
            </w:pict>
          </mc:Fallback>
        </mc:AlternateContent>
      </w:r>
      <w:r>
        <w:rPr>
          <w:sz w:val="32"/>
        </w:rPr>
        <mc:AlternateContent>
          <mc:Choice Requires="wps">
            <w:drawing>
              <wp:anchor distT="0" distB="0" distL="114300" distR="114300" simplePos="0" relativeHeight="251660288" behindDoc="0" locked="0" layoutInCell="1" allowOverlap="1">
                <wp:simplePos x="0" y="0"/>
                <wp:positionH relativeFrom="column">
                  <wp:posOffset>416560</wp:posOffset>
                </wp:positionH>
                <wp:positionV relativeFrom="paragraph">
                  <wp:posOffset>58420</wp:posOffset>
                </wp:positionV>
                <wp:extent cx="1071245" cy="1273175"/>
                <wp:effectExtent l="4445" t="4445" r="10160" b="17780"/>
                <wp:wrapNone/>
                <wp:docPr id="4" name="文本框 4"/>
                <wp:cNvGraphicFramePr/>
                <a:graphic xmlns:a="http://schemas.openxmlformats.org/drawingml/2006/main">
                  <a:graphicData uri="http://schemas.microsoft.com/office/word/2010/wordprocessingShape">
                    <wps:wsp>
                      <wps:cNvSpPr txBox="1"/>
                      <wps:spPr>
                        <a:xfrm>
                          <a:off x="1559560" y="1765300"/>
                          <a:ext cx="1071245" cy="12731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bCs w:val="0"/>
                                <w:sz w:val="24"/>
                                <w:szCs w:val="24"/>
                                <w:shd w:val="clear" w:color="auto" w:fill="auto"/>
                                <w:vertAlign w:val="baseline"/>
                                <w:lang w:val="en-US" w:eastAsia="zh-CN"/>
                              </w:rPr>
                            </w:pPr>
                            <w:r>
                              <w:rPr>
                                <w:rFonts w:hint="eastAsia" w:asciiTheme="minorEastAsia" w:hAnsiTheme="minorEastAsia" w:eastAsiaTheme="minorEastAsia" w:cstheme="minorEastAsia"/>
                                <w:b w:val="0"/>
                                <w:bCs w:val="0"/>
                                <w:sz w:val="24"/>
                                <w:szCs w:val="24"/>
                                <w:shd w:val="clear" w:color="auto" w:fill="auto"/>
                                <w:vertAlign w:val="baseline"/>
                                <w:lang w:val="en-US" w:eastAsia="zh-CN"/>
                              </w:rPr>
                              <w:t>事故发生地</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bCs w:val="0"/>
                                <w:sz w:val="24"/>
                                <w:szCs w:val="24"/>
                                <w:shd w:val="clear" w:color="auto" w:fill="auto"/>
                                <w:vertAlign w:val="baseline"/>
                                <w:lang w:val="en-US" w:eastAsia="zh-CN"/>
                              </w:rPr>
                            </w:pPr>
                            <w:r>
                              <w:rPr>
                                <w:rFonts w:hint="eastAsia" w:asciiTheme="minorEastAsia" w:hAnsiTheme="minorEastAsia" w:eastAsiaTheme="minorEastAsia" w:cstheme="minorEastAsia"/>
                                <w:b w:val="0"/>
                                <w:bCs w:val="0"/>
                                <w:sz w:val="24"/>
                                <w:szCs w:val="24"/>
                                <w:shd w:val="clear" w:color="auto" w:fill="auto"/>
                                <w:vertAlign w:val="baseline"/>
                                <w:lang w:val="en-US" w:eastAsia="zh-CN"/>
                              </w:rPr>
                              <w:t>有关单位部</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bCs w:val="0"/>
                                <w:sz w:val="24"/>
                                <w:szCs w:val="24"/>
                                <w:shd w:val="clear" w:color="auto" w:fill="auto"/>
                                <w:vertAlign w:val="baseline"/>
                                <w:lang w:val="en-US" w:eastAsia="zh-CN"/>
                              </w:rPr>
                            </w:pPr>
                            <w:r>
                              <w:rPr>
                                <w:rFonts w:hint="eastAsia" w:asciiTheme="minorEastAsia" w:hAnsiTheme="minorEastAsia" w:eastAsiaTheme="minorEastAsia" w:cstheme="minorEastAsia"/>
                                <w:b w:val="0"/>
                                <w:bCs w:val="0"/>
                                <w:sz w:val="24"/>
                                <w:szCs w:val="24"/>
                                <w:shd w:val="clear" w:color="auto" w:fill="auto"/>
                                <w:vertAlign w:val="baseline"/>
                                <w:lang w:val="en-US" w:eastAsia="zh-CN"/>
                              </w:rPr>
                              <w:t>门组织先期</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bCs w:val="0"/>
                                <w:sz w:val="24"/>
                                <w:szCs w:val="24"/>
                                <w:shd w:val="clear" w:color="auto" w:fill="auto"/>
                                <w:vertAlign w:val="baseline"/>
                                <w:lang w:val="en-US" w:eastAsia="zh-CN"/>
                              </w:rPr>
                            </w:pPr>
                            <w:r>
                              <w:rPr>
                                <w:rFonts w:hint="eastAsia" w:asciiTheme="minorEastAsia" w:hAnsiTheme="minorEastAsia" w:eastAsiaTheme="minorEastAsia" w:cstheme="minorEastAsia"/>
                                <w:b w:val="0"/>
                                <w:bCs w:val="0"/>
                                <w:sz w:val="24"/>
                                <w:szCs w:val="24"/>
                                <w:shd w:val="clear" w:color="auto" w:fill="auto"/>
                                <w:vertAlign w:val="baseline"/>
                                <w:lang w:val="en-US" w:eastAsia="zh-CN"/>
                              </w:rPr>
                              <w:t>处置同时上</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bCs w:val="0"/>
                                <w:sz w:val="24"/>
                                <w:szCs w:val="24"/>
                                <w:shd w:val="clear" w:color="auto" w:fill="auto"/>
                                <w:vertAlign w:val="baseline"/>
                                <w:lang w:val="en-US" w:eastAsia="zh-CN"/>
                              </w:rPr>
                            </w:pPr>
                            <w:r>
                              <w:rPr>
                                <w:rFonts w:hint="eastAsia" w:asciiTheme="minorEastAsia" w:hAnsiTheme="minorEastAsia" w:eastAsiaTheme="minorEastAsia" w:cstheme="minorEastAsia"/>
                                <w:b w:val="0"/>
                                <w:bCs w:val="0"/>
                                <w:sz w:val="24"/>
                                <w:szCs w:val="24"/>
                                <w:shd w:val="clear" w:color="auto" w:fill="auto"/>
                                <w:vertAlign w:val="baseline"/>
                                <w:lang w:val="en-US" w:eastAsia="zh-CN"/>
                              </w:rPr>
                              <w:t>报上级监管</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bCs w:val="0"/>
                                <w:sz w:val="24"/>
                                <w:szCs w:val="24"/>
                                <w:shd w:val="clear" w:color="auto" w:fill="auto"/>
                                <w:vertAlign w:val="baseline"/>
                                <w:lang w:val="en-US" w:eastAsia="zh-CN"/>
                              </w:rPr>
                            </w:pPr>
                            <w:r>
                              <w:rPr>
                                <w:rFonts w:hint="eastAsia" w:asciiTheme="minorEastAsia" w:hAnsiTheme="minorEastAsia" w:eastAsiaTheme="minorEastAsia" w:cstheme="minorEastAsia"/>
                                <w:b w:val="0"/>
                                <w:bCs w:val="0"/>
                                <w:sz w:val="24"/>
                                <w:szCs w:val="24"/>
                                <w:shd w:val="clear" w:color="auto" w:fill="auto"/>
                                <w:vertAlign w:val="baseline"/>
                                <w:lang w:val="en-US" w:eastAsia="zh-CN"/>
                              </w:rPr>
                              <w:t>部门</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8pt;margin-top:4.6pt;height:100.25pt;width:84.35pt;z-index:251660288;mso-width-relative:page;mso-height-relative:page;" fillcolor="#FFFFFF [3201]" filled="t" stroked="t" coordsize="21600,21600" o:gfxdata="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Nx55a3VAAAACAEAAA8AAAAAAAAAAQAgAAAAIgAAAGRycy9kb3ducmV2LnhtbFBLAQIUABQAAAAI&#10;AIdO4kAeJKhSYgIAAMQEAAAOAAAAAAAAAAEAIAAAACQBAABkcnMvZTJvRG9jLnhtbFBLBQYAAAAA&#10;BgAGAFkBAAD4BQ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bCs w:val="0"/>
                          <w:sz w:val="24"/>
                          <w:szCs w:val="24"/>
                          <w:shd w:val="clear" w:color="auto" w:fill="auto"/>
                          <w:vertAlign w:val="baseline"/>
                          <w:lang w:val="en-US" w:eastAsia="zh-CN"/>
                        </w:rPr>
                      </w:pPr>
                      <w:r>
                        <w:rPr>
                          <w:rFonts w:hint="eastAsia" w:asciiTheme="minorEastAsia" w:hAnsiTheme="minorEastAsia" w:eastAsiaTheme="minorEastAsia" w:cstheme="minorEastAsia"/>
                          <w:b w:val="0"/>
                          <w:bCs w:val="0"/>
                          <w:sz w:val="24"/>
                          <w:szCs w:val="24"/>
                          <w:shd w:val="clear" w:color="auto" w:fill="auto"/>
                          <w:vertAlign w:val="baseline"/>
                          <w:lang w:val="en-US" w:eastAsia="zh-CN"/>
                        </w:rPr>
                        <w:t>事故发生地</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bCs w:val="0"/>
                          <w:sz w:val="24"/>
                          <w:szCs w:val="24"/>
                          <w:shd w:val="clear" w:color="auto" w:fill="auto"/>
                          <w:vertAlign w:val="baseline"/>
                          <w:lang w:val="en-US" w:eastAsia="zh-CN"/>
                        </w:rPr>
                      </w:pPr>
                      <w:r>
                        <w:rPr>
                          <w:rFonts w:hint="eastAsia" w:asciiTheme="minorEastAsia" w:hAnsiTheme="minorEastAsia" w:eastAsiaTheme="minorEastAsia" w:cstheme="minorEastAsia"/>
                          <w:b w:val="0"/>
                          <w:bCs w:val="0"/>
                          <w:sz w:val="24"/>
                          <w:szCs w:val="24"/>
                          <w:shd w:val="clear" w:color="auto" w:fill="auto"/>
                          <w:vertAlign w:val="baseline"/>
                          <w:lang w:val="en-US" w:eastAsia="zh-CN"/>
                        </w:rPr>
                        <w:t>有关单位部</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bCs w:val="0"/>
                          <w:sz w:val="24"/>
                          <w:szCs w:val="24"/>
                          <w:shd w:val="clear" w:color="auto" w:fill="auto"/>
                          <w:vertAlign w:val="baseline"/>
                          <w:lang w:val="en-US" w:eastAsia="zh-CN"/>
                        </w:rPr>
                      </w:pPr>
                      <w:r>
                        <w:rPr>
                          <w:rFonts w:hint="eastAsia" w:asciiTheme="minorEastAsia" w:hAnsiTheme="minorEastAsia" w:eastAsiaTheme="minorEastAsia" w:cstheme="minorEastAsia"/>
                          <w:b w:val="0"/>
                          <w:bCs w:val="0"/>
                          <w:sz w:val="24"/>
                          <w:szCs w:val="24"/>
                          <w:shd w:val="clear" w:color="auto" w:fill="auto"/>
                          <w:vertAlign w:val="baseline"/>
                          <w:lang w:val="en-US" w:eastAsia="zh-CN"/>
                        </w:rPr>
                        <w:t>门组织先期</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bCs w:val="0"/>
                          <w:sz w:val="24"/>
                          <w:szCs w:val="24"/>
                          <w:shd w:val="clear" w:color="auto" w:fill="auto"/>
                          <w:vertAlign w:val="baseline"/>
                          <w:lang w:val="en-US" w:eastAsia="zh-CN"/>
                        </w:rPr>
                      </w:pPr>
                      <w:r>
                        <w:rPr>
                          <w:rFonts w:hint="eastAsia" w:asciiTheme="minorEastAsia" w:hAnsiTheme="minorEastAsia" w:eastAsiaTheme="minorEastAsia" w:cstheme="minorEastAsia"/>
                          <w:b w:val="0"/>
                          <w:bCs w:val="0"/>
                          <w:sz w:val="24"/>
                          <w:szCs w:val="24"/>
                          <w:shd w:val="clear" w:color="auto" w:fill="auto"/>
                          <w:vertAlign w:val="baseline"/>
                          <w:lang w:val="en-US" w:eastAsia="zh-CN"/>
                        </w:rPr>
                        <w:t>处置同时上</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bCs w:val="0"/>
                          <w:sz w:val="24"/>
                          <w:szCs w:val="24"/>
                          <w:shd w:val="clear" w:color="auto" w:fill="auto"/>
                          <w:vertAlign w:val="baseline"/>
                          <w:lang w:val="en-US" w:eastAsia="zh-CN"/>
                        </w:rPr>
                      </w:pPr>
                      <w:r>
                        <w:rPr>
                          <w:rFonts w:hint="eastAsia" w:asciiTheme="minorEastAsia" w:hAnsiTheme="minorEastAsia" w:eastAsiaTheme="minorEastAsia" w:cstheme="minorEastAsia"/>
                          <w:b w:val="0"/>
                          <w:bCs w:val="0"/>
                          <w:sz w:val="24"/>
                          <w:szCs w:val="24"/>
                          <w:shd w:val="clear" w:color="auto" w:fill="auto"/>
                          <w:vertAlign w:val="baseline"/>
                          <w:lang w:val="en-US" w:eastAsia="zh-CN"/>
                        </w:rPr>
                        <w:t>报上级监管</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bCs w:val="0"/>
                          <w:sz w:val="24"/>
                          <w:szCs w:val="24"/>
                          <w:shd w:val="clear" w:color="auto" w:fill="auto"/>
                          <w:vertAlign w:val="baseline"/>
                          <w:lang w:val="en-US" w:eastAsia="zh-CN"/>
                        </w:rPr>
                      </w:pPr>
                      <w:r>
                        <w:rPr>
                          <w:rFonts w:hint="eastAsia" w:asciiTheme="minorEastAsia" w:hAnsiTheme="minorEastAsia" w:eastAsiaTheme="minorEastAsia" w:cstheme="minorEastAsia"/>
                          <w:b w:val="0"/>
                          <w:bCs w:val="0"/>
                          <w:sz w:val="24"/>
                          <w:szCs w:val="24"/>
                          <w:shd w:val="clear" w:color="auto" w:fill="auto"/>
                          <w:vertAlign w:val="baseline"/>
                          <w:lang w:val="en-US" w:eastAsia="zh-CN"/>
                        </w:rPr>
                        <w:t>部门</w:t>
                      </w:r>
                    </w:p>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仿宋" w:hAnsi="仿宋" w:eastAsia="仿宋" w:cs="仿宋"/>
          <w:b/>
          <w:bCs/>
          <w:sz w:val="32"/>
          <w:szCs w:val="32"/>
          <w:vertAlign w:val="baseline"/>
          <w:lang w:val="en-US" w:eastAsia="zh-CN"/>
        </w:rPr>
      </w:pPr>
      <w:r>
        <w:rPr>
          <w:sz w:val="32"/>
        </w:rPr>
        <mc:AlternateContent>
          <mc:Choice Requires="wps">
            <w:drawing>
              <wp:anchor distT="0" distB="0" distL="114300" distR="114300" simplePos="0" relativeHeight="251663360" behindDoc="0" locked="0" layoutInCell="1" allowOverlap="1">
                <wp:simplePos x="0" y="0"/>
                <wp:positionH relativeFrom="column">
                  <wp:posOffset>3790950</wp:posOffset>
                </wp:positionH>
                <wp:positionV relativeFrom="paragraph">
                  <wp:posOffset>186055</wp:posOffset>
                </wp:positionV>
                <wp:extent cx="0" cy="106680"/>
                <wp:effectExtent l="50800" t="0" r="63500" b="102870"/>
                <wp:wrapNone/>
                <wp:docPr id="8" name="直接箭头连接符 8"/>
                <wp:cNvGraphicFramePr/>
                <a:graphic xmlns:a="http://schemas.openxmlformats.org/drawingml/2006/main">
                  <a:graphicData uri="http://schemas.microsoft.com/office/word/2010/wordprocessingShape">
                    <wps:wsp>
                      <wps:cNvCnPr/>
                      <wps:spPr>
                        <a:xfrm>
                          <a:off x="4953000" y="2241550"/>
                          <a:ext cx="0" cy="106680"/>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margin-left:298.5pt;margin-top:14.65pt;height:8.4pt;width:0pt;z-index:251663360;mso-width-relative:page;mso-height-relative:page;" filled="f" stroked="t" coordsize="21600,21600" o:gfxdata="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">
                <v:fill on="f" focussize="0,0"/>
                <v:stroke weight="1pt" color="#000000"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1664384" behindDoc="0" locked="0" layoutInCell="1" allowOverlap="1">
                <wp:simplePos x="0" y="0"/>
                <wp:positionH relativeFrom="column">
                  <wp:posOffset>2452370</wp:posOffset>
                </wp:positionH>
                <wp:positionV relativeFrom="paragraph">
                  <wp:posOffset>281305</wp:posOffset>
                </wp:positionV>
                <wp:extent cx="2919730" cy="273685"/>
                <wp:effectExtent l="4445" t="4445" r="9525" b="7620"/>
                <wp:wrapNone/>
                <wp:docPr id="9" name="文本框 9"/>
                <wp:cNvGraphicFramePr/>
                <a:graphic xmlns:a="http://schemas.openxmlformats.org/drawingml/2006/main">
                  <a:graphicData uri="http://schemas.microsoft.com/office/word/2010/wordprocessingShape">
                    <wps:wsp>
                      <wps:cNvSpPr txBox="1"/>
                      <wps:spPr>
                        <a:xfrm>
                          <a:off x="3595370" y="2384425"/>
                          <a:ext cx="2919730" cy="27368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eastAsia="zh-CN"/>
                              </w:rPr>
                              <w:t>组织调查确认事故等级并进行分级评估</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3.1pt;margin-top:22.15pt;height:21.55pt;width:229.9pt;z-index:251664384;mso-width-relative:page;mso-height-relative:page;" fillcolor="#FFFFFF [3201]" filled="t" stroked="t" coordsize="21600,21600" o:gfxdata="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pdibF9YAAAAJAQAADwAAAAAAAAABACAAAAAiAAAAZHJzL2Rvd25yZXYueG1sUEsBAhQA&#10;FAAAAAgAh07iQHjhjTVmAgAAwwQAAA4AAAAAAAAAAQAgAAAAJQEAAGRycy9lMm9Eb2MueG1sUEsF&#10;BgAAAAAGAAYAWQEAAP0FAAAAAA==&#10;">
                <v:fill on="t" focussize="0,0"/>
                <v:stroke weight="0.5pt" color="#000000 [3204]" joinstyle="round"/>
                <v:imagedata o:title=""/>
                <o:lock v:ext="edit" aspectratio="f"/>
                <v:textbox>
                  <w:txbxContent>
                    <w:p>
                      <w:pPr>
                        <w:rPr>
                          <w:rFonts w:hint="eastAsia" w:eastAsiaTheme="minorEastAsia"/>
                          <w:lang w:eastAsia="zh-CN"/>
                        </w:rPr>
                      </w:pPr>
                      <w:r>
                        <w:rPr>
                          <w:rFonts w:hint="eastAsia"/>
                          <w:lang w:eastAsia="zh-CN"/>
                        </w:rPr>
                        <w:t>组织调查确认事故等级并进行分级评估</w:t>
                      </w:r>
                    </w:p>
                  </w:txbxContent>
                </v:textbox>
              </v:shape>
            </w:pict>
          </mc:Fallback>
        </mc:AlternateContent>
      </w:r>
      <w:r>
        <w:rPr>
          <w:sz w:val="32"/>
        </w:rPr>
        <mc:AlternateContent>
          <mc:Choice Requires="wps">
            <w:drawing>
              <wp:anchor distT="0" distB="0" distL="114300" distR="114300" simplePos="0" relativeHeight="251661312" behindDoc="0" locked="0" layoutInCell="1" allowOverlap="1">
                <wp:simplePos x="0" y="0"/>
                <wp:positionH relativeFrom="column">
                  <wp:posOffset>1487805</wp:posOffset>
                </wp:positionH>
                <wp:positionV relativeFrom="paragraph">
                  <wp:posOffset>292735</wp:posOffset>
                </wp:positionV>
                <wp:extent cx="941070" cy="6350"/>
                <wp:effectExtent l="0" t="50165" r="11430" b="57785"/>
                <wp:wrapNone/>
                <wp:docPr id="6" name="直接箭头连接符 6"/>
                <wp:cNvGraphicFramePr/>
                <a:graphic xmlns:a="http://schemas.openxmlformats.org/drawingml/2006/main">
                  <a:graphicData uri="http://schemas.microsoft.com/office/word/2010/wordprocessingShape">
                    <wps:wsp>
                      <wps:cNvCnPr>
                        <a:stCxn id="4" idx="3"/>
                      </wps:cNvCnPr>
                      <wps:spPr>
                        <a:xfrm flipV="1">
                          <a:off x="2630805" y="2372360"/>
                          <a:ext cx="941070" cy="635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117.15pt;margin-top:23.05pt;height:0.5pt;width:74.1pt;z-index:251661312;mso-width-relative:page;mso-height-relative:page;" filled="f" stroked="t" coordsize="21600,21600" o:gfxdata="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iZRKoNsAAAAJAQAADwAAAAAAAAABACAAAAAiAAAAZHJzL2Rvd25y&#10;ZXYueG1sUEsBAhQAFAAAAAgAh07iQMU9jSQ0AgAALwQAAA4AAAAAAAAAAQAgAAAAKgEAAGRycy9l&#10;Mm9Eb2MueG1sUEsFBgAAAAAGAAYAWQEAANAFAAAAAA==&#10;">
                <v:fill on="f" focussize="0,0"/>
                <v:stroke weight="1pt" color="#000000 [3200]" miterlimit="8" joinstyle="miter" endarrow="open"/>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仿宋" w:hAnsi="仿宋" w:eastAsia="仿宋" w:cs="仿宋"/>
          <w:b/>
          <w:bCs/>
          <w:sz w:val="32"/>
          <w:szCs w:val="32"/>
          <w:vertAlign w:val="baseline"/>
          <w:lang w:val="en-US" w:eastAsia="zh-CN"/>
        </w:rPr>
      </w:pPr>
      <w:r>
        <w:rPr>
          <w:sz w:val="32"/>
        </w:rPr>
        <mc:AlternateContent>
          <mc:Choice Requires="wps">
            <w:drawing>
              <wp:anchor distT="0" distB="0" distL="114300" distR="114300" simplePos="0" relativeHeight="251666432" behindDoc="0" locked="0" layoutInCell="1" allowOverlap="1">
                <wp:simplePos x="0" y="0"/>
                <wp:positionH relativeFrom="column">
                  <wp:posOffset>2431415</wp:posOffset>
                </wp:positionH>
                <wp:positionV relativeFrom="paragraph">
                  <wp:posOffset>266065</wp:posOffset>
                </wp:positionV>
                <wp:extent cx="2921000" cy="517525"/>
                <wp:effectExtent l="5080" t="4445" r="7620" b="11430"/>
                <wp:wrapNone/>
                <wp:docPr id="11" name="文本框 11"/>
                <wp:cNvGraphicFramePr/>
                <a:graphic xmlns:a="http://schemas.openxmlformats.org/drawingml/2006/main">
                  <a:graphicData uri="http://schemas.microsoft.com/office/word/2010/wordprocessingShape">
                    <wps:wsp>
                      <wps:cNvSpPr txBox="1"/>
                      <wps:spPr>
                        <a:xfrm>
                          <a:off x="3536315" y="2765425"/>
                          <a:ext cx="2921000" cy="5175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eastAsia="zh-CN"/>
                              </w:rPr>
                              <w:t>开发区市场监督管理部（食药安办）确认事故等级</w:t>
                            </w:r>
                            <w:r>
                              <w:rPr>
                                <w:rFonts w:hint="eastAsia"/>
                                <w:lang w:val="en-US" w:eastAsia="zh-CN"/>
                              </w:rPr>
                              <w:t>IV级以上时，向食药安委提出应急预案建议</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1.45pt;margin-top:20.95pt;height:40.75pt;width:230pt;z-index:251666432;mso-width-relative:page;mso-height-relative:page;" fillcolor="#FFFFFF [3201]" filled="t" stroked="t" coordsize="21600,21600" o:gfxdata="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Aa5ZEZ1QAAAAoBAAAPAAAAAAAAAAEAIAAAACIAAABkcnMvZG93bnJldi54bWxQSwECFAAU&#10;AAAACACHTuJAXTCaLWYCAADFBAAADgAAAAAAAAABACAAAAAkAQAAZHJzL2Uyb0RvYy54bWxQSwUG&#10;AAAAAAYABgBZAQAA/AUAAAAA&#10;">
                <v:fill on="t" focussize="0,0"/>
                <v:stroke weight="0.5pt" color="#000000 [3204]" joinstyle="round"/>
                <v:imagedata o:title=""/>
                <o:lock v:ext="edit" aspectratio="f"/>
                <v:textbox>
                  <w:txbxContent>
                    <w:p>
                      <w:pPr>
                        <w:rPr>
                          <w:rFonts w:hint="eastAsia" w:eastAsiaTheme="minorEastAsia"/>
                          <w:lang w:eastAsia="zh-CN"/>
                        </w:rPr>
                      </w:pPr>
                      <w:r>
                        <w:rPr>
                          <w:rFonts w:hint="eastAsia"/>
                          <w:lang w:eastAsia="zh-CN"/>
                        </w:rPr>
                        <w:t>开发区市场监督管理部（食药安办）确认事故等级</w:t>
                      </w:r>
                      <w:r>
                        <w:rPr>
                          <w:rFonts w:hint="eastAsia"/>
                          <w:lang w:val="en-US" w:eastAsia="zh-CN"/>
                        </w:rPr>
                        <w:t>IV级以上时，向食药安委提出应急预案建议</w:t>
                      </w:r>
                    </w:p>
                  </w:txbxContent>
                </v:textbox>
              </v:shape>
            </w:pict>
          </mc:Fallback>
        </mc:AlternateContent>
      </w:r>
      <w:r>
        <w:rPr>
          <w:sz w:val="32"/>
        </w:rPr>
        <mc:AlternateContent>
          <mc:Choice Requires="wps">
            <w:drawing>
              <wp:anchor distT="0" distB="0" distL="114300" distR="114300" simplePos="0" relativeHeight="251665408" behindDoc="0" locked="0" layoutInCell="1" allowOverlap="1">
                <wp:simplePos x="0" y="0"/>
                <wp:positionH relativeFrom="column">
                  <wp:posOffset>3810000</wp:posOffset>
                </wp:positionH>
                <wp:positionV relativeFrom="paragraph">
                  <wp:posOffset>158750</wp:posOffset>
                </wp:positionV>
                <wp:extent cx="12065" cy="107315"/>
                <wp:effectExtent l="40640" t="635" r="61595" b="120650"/>
                <wp:wrapNone/>
                <wp:docPr id="10" name="直接箭头连接符 10"/>
                <wp:cNvGraphicFramePr/>
                <a:graphic xmlns:a="http://schemas.openxmlformats.org/drawingml/2006/main">
                  <a:graphicData uri="http://schemas.microsoft.com/office/word/2010/wordprocessingShape">
                    <wps:wsp>
                      <wps:cNvCnPr/>
                      <wps:spPr>
                        <a:xfrm flipH="1">
                          <a:off x="4953000" y="2658110"/>
                          <a:ext cx="12065" cy="107315"/>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flip:x;margin-left:300pt;margin-top:12.5pt;height:8.45pt;width:0.95pt;z-index:251665408;mso-width-relative:page;mso-height-relative:page;" filled="f" stroked="t" coordsize="21600,21600" o:gfxdata="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">
                <v:fill on="f" focussize="0,0"/>
                <v:stroke weight="1pt" color="#000000" miterlimit="8" joinstyle="miter" endarrow="open"/>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default" w:ascii="仿宋" w:hAnsi="仿宋" w:eastAsia="仿宋" w:cs="仿宋"/>
          <w:b/>
          <w:bCs/>
          <w:sz w:val="32"/>
          <w:szCs w:val="32"/>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仿宋" w:hAnsi="仿宋" w:eastAsia="仿宋" w:cs="仿宋"/>
          <w:b/>
          <w:bCs/>
          <w:sz w:val="32"/>
          <w:szCs w:val="32"/>
          <w:vertAlign w:val="baseline"/>
          <w:lang w:val="en-US" w:eastAsia="zh-CN"/>
        </w:rPr>
      </w:pPr>
      <w:r>
        <w:rPr>
          <w:sz w:val="32"/>
        </w:rPr>
        <mc:AlternateContent>
          <mc:Choice Requires="wps">
            <w:drawing>
              <wp:anchor distT="0" distB="0" distL="114300" distR="114300" simplePos="0" relativeHeight="251668480" behindDoc="0" locked="0" layoutInCell="1" allowOverlap="1">
                <wp:simplePos x="0" y="0"/>
                <wp:positionH relativeFrom="column">
                  <wp:posOffset>2426335</wp:posOffset>
                </wp:positionH>
                <wp:positionV relativeFrom="paragraph">
                  <wp:posOffset>180340</wp:posOffset>
                </wp:positionV>
                <wp:extent cx="2935605" cy="262255"/>
                <wp:effectExtent l="4445" t="4445" r="12700" b="19050"/>
                <wp:wrapNone/>
                <wp:docPr id="13" name="文本框 13"/>
                <wp:cNvGraphicFramePr/>
                <a:graphic xmlns:a="http://schemas.openxmlformats.org/drawingml/2006/main">
                  <a:graphicData uri="http://schemas.microsoft.com/office/word/2010/wordprocessingShape">
                    <wps:wsp>
                      <wps:cNvSpPr txBox="1"/>
                      <wps:spPr>
                        <a:xfrm>
                          <a:off x="3559810" y="3634105"/>
                          <a:ext cx="2935605" cy="26225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eastAsia="zh-CN"/>
                              </w:rPr>
                              <w:t>食药安委研究后提</w:t>
                            </w:r>
                            <w:r>
                              <w:rPr>
                                <w:rFonts w:hint="eastAsia"/>
                                <w:lang w:val="en-US" w:eastAsia="zh-CN"/>
                              </w:rPr>
                              <w:t>请</w:t>
                            </w:r>
                            <w:r>
                              <w:rPr>
                                <w:rFonts w:hint="eastAsia"/>
                                <w:lang w:eastAsia="zh-CN"/>
                              </w:rPr>
                              <w:t>管委政府启动应急预案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1.05pt;margin-top:14.2pt;height:20.65pt;width:231.15pt;z-index:251668480;mso-width-relative:page;mso-height-relative:page;" fillcolor="#FFFFFF [3201]" filled="t" stroked="t" coordsize="21600,21600" o:gfxdata="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l7P29NYAAAAJAQAADwAAAAAAAAABACAAAAAiAAAAZHJzL2Rvd25yZXYueG1sUEsBAhQA&#10;FAAAAAgAh07iQKCj8NZmAgAAxQQAAA4AAAAAAAAAAQAgAAAAJQEAAGRycy9lMm9Eb2MueG1sUEsF&#10;BgAAAAAGAAYAWQEAAP0FAAAAAA==&#10;">
                <v:fill on="t" focussize="0,0"/>
                <v:stroke weight="0.5pt" color="#000000 [3204]" joinstyle="round"/>
                <v:imagedata o:title=""/>
                <o:lock v:ext="edit" aspectratio="f"/>
                <v:textbox>
                  <w:txbxContent>
                    <w:p>
                      <w:pPr>
                        <w:rPr>
                          <w:rFonts w:hint="eastAsia" w:eastAsiaTheme="minorEastAsia"/>
                          <w:lang w:eastAsia="zh-CN"/>
                        </w:rPr>
                      </w:pPr>
                      <w:r>
                        <w:rPr>
                          <w:rFonts w:hint="eastAsia"/>
                          <w:lang w:eastAsia="zh-CN"/>
                        </w:rPr>
                        <w:t>食药安委研究后提</w:t>
                      </w:r>
                      <w:r>
                        <w:rPr>
                          <w:rFonts w:hint="eastAsia"/>
                          <w:lang w:val="en-US" w:eastAsia="zh-CN"/>
                        </w:rPr>
                        <w:t>请</w:t>
                      </w:r>
                      <w:r>
                        <w:rPr>
                          <w:rFonts w:hint="eastAsia"/>
                          <w:lang w:eastAsia="zh-CN"/>
                        </w:rPr>
                        <w:t>管委政府启动应急预案</w:t>
                      </w:r>
                    </w:p>
                  </w:txbxContent>
                </v:textbox>
              </v:shape>
            </w:pict>
          </mc:Fallback>
        </mc:AlternateContent>
      </w:r>
      <w:r>
        <w:rPr>
          <w:sz w:val="32"/>
        </w:rPr>
        <mc:AlternateContent>
          <mc:Choice Requires="wps">
            <w:drawing>
              <wp:anchor distT="0" distB="0" distL="114300" distR="114300" simplePos="0" relativeHeight="251667456" behindDoc="0" locked="0" layoutInCell="1" allowOverlap="1">
                <wp:simplePos x="0" y="0"/>
                <wp:positionH relativeFrom="column">
                  <wp:posOffset>3803650</wp:posOffset>
                </wp:positionH>
                <wp:positionV relativeFrom="paragraph">
                  <wp:posOffset>27940</wp:posOffset>
                </wp:positionV>
                <wp:extent cx="1270" cy="150495"/>
                <wp:effectExtent l="50165" t="0" r="62865" b="135255"/>
                <wp:wrapNone/>
                <wp:docPr id="12" name="直接箭头连接符 12"/>
                <wp:cNvGraphicFramePr/>
                <a:graphic xmlns:a="http://schemas.openxmlformats.org/drawingml/2006/main">
                  <a:graphicData uri="http://schemas.microsoft.com/office/word/2010/wordprocessingShape">
                    <wps:wsp>
                      <wps:cNvCnPr/>
                      <wps:spPr>
                        <a:xfrm>
                          <a:off x="4928870" y="3454400"/>
                          <a:ext cx="1270" cy="150495"/>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margin-left:299.5pt;margin-top:2.2pt;height:11.85pt;width:0.1pt;z-index:251667456;mso-width-relative:page;mso-height-relative:page;" filled="f" stroked="t" coordsize="21600,21600" o:gfxdata="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">
                <v:fill on="f" focussize="0,0"/>
                <v:stroke weight="1pt" color="#000000" miterlimit="8" joinstyle="miter" endarrow="open"/>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仿宋" w:hAnsi="仿宋" w:eastAsia="仿宋" w:cs="仿宋"/>
          <w:b/>
          <w:bCs/>
          <w:sz w:val="32"/>
          <w:szCs w:val="32"/>
          <w:vertAlign w:val="baseline"/>
          <w:lang w:val="en-US" w:eastAsia="zh-CN"/>
        </w:rPr>
      </w:pPr>
      <w:r>
        <w:rPr>
          <w:sz w:val="32"/>
        </w:rPr>
        <mc:AlternateContent>
          <mc:Choice Requires="wps">
            <w:drawing>
              <wp:anchor distT="0" distB="0" distL="114300" distR="114300" simplePos="0" relativeHeight="251670528" behindDoc="0" locked="0" layoutInCell="1" allowOverlap="1">
                <wp:simplePos x="0" y="0"/>
                <wp:positionH relativeFrom="column">
                  <wp:posOffset>257175</wp:posOffset>
                </wp:positionH>
                <wp:positionV relativeFrom="paragraph">
                  <wp:posOffset>258445</wp:posOffset>
                </wp:positionV>
                <wp:extent cx="5092700" cy="486410"/>
                <wp:effectExtent l="4445" t="4445" r="8255" b="23495"/>
                <wp:wrapNone/>
                <wp:docPr id="15" name="文本框 15"/>
                <wp:cNvGraphicFramePr/>
                <a:graphic xmlns:a="http://schemas.openxmlformats.org/drawingml/2006/main">
                  <a:graphicData uri="http://schemas.microsoft.com/office/word/2010/wordprocessingShape">
                    <wps:wsp>
                      <wps:cNvSpPr txBox="1"/>
                      <wps:spPr>
                        <a:xfrm>
                          <a:off x="1381125" y="4062730"/>
                          <a:ext cx="5092700" cy="48641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eastAsia="zh-CN"/>
                              </w:rPr>
                              <w:t>管委会同意启动预案后，食药安委转换为应急处置指挥部，明确总指挥、副总指挥，开始组织、指挥、协调处置食品安全事故</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25pt;margin-top:20.35pt;height:38.3pt;width:401pt;z-index:251670528;mso-width-relative:page;mso-height-relative:page;" fillcolor="#FFFFFF [3201]" filled="t" stroked="t" coordsize="21600,21600" o:gfxdata="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AfR8Zi1gAAAAkBAAAPAAAAAAAAAAEAIAAAACIAAABkcnMvZG93bnJldi54bWxQSwECFAAU&#10;AAAACACHTuJAyedqMGUCAADFBAAADgAAAAAAAAABACAAAAAlAQAAZHJzL2Uyb0RvYy54bWxQSwUG&#10;AAAAAAYABgBZAQAA/AUAAAAA&#10;">
                <v:fill on="t" focussize="0,0"/>
                <v:stroke weight="0.5pt" color="#000000 [3204]" joinstyle="round"/>
                <v:imagedata o:title=""/>
                <o:lock v:ext="edit" aspectratio="f"/>
                <v:textbox>
                  <w:txbxContent>
                    <w:p>
                      <w:pPr>
                        <w:rPr>
                          <w:rFonts w:hint="eastAsia" w:eastAsiaTheme="minorEastAsia"/>
                          <w:lang w:eastAsia="zh-CN"/>
                        </w:rPr>
                      </w:pPr>
                      <w:r>
                        <w:rPr>
                          <w:rFonts w:hint="eastAsia"/>
                          <w:lang w:eastAsia="zh-CN"/>
                        </w:rPr>
                        <w:t>管委会同意启动预案后，食药安委转换为应急处置指挥部，明确总指挥、副总指挥，开始组织、指挥、协调处置食品安全事故</w:t>
                      </w:r>
                    </w:p>
                  </w:txbxContent>
                </v:textbox>
              </v:shape>
            </w:pict>
          </mc:Fallback>
        </mc:AlternateContent>
      </w:r>
      <w:r>
        <w:rPr>
          <w:sz w:val="32"/>
        </w:rPr>
        <mc:AlternateContent>
          <mc:Choice Requires="wps">
            <w:drawing>
              <wp:anchor distT="0" distB="0" distL="114300" distR="114300" simplePos="0" relativeHeight="251669504" behindDoc="0" locked="0" layoutInCell="1" allowOverlap="1">
                <wp:simplePos x="0" y="0"/>
                <wp:positionH relativeFrom="column">
                  <wp:posOffset>3788410</wp:posOffset>
                </wp:positionH>
                <wp:positionV relativeFrom="paragraph">
                  <wp:posOffset>74930</wp:posOffset>
                </wp:positionV>
                <wp:extent cx="6350" cy="154940"/>
                <wp:effectExtent l="46990" t="0" r="60960" b="130810"/>
                <wp:wrapNone/>
                <wp:docPr id="14" name="直接箭头连接符 14"/>
                <wp:cNvGraphicFramePr/>
                <a:graphic xmlns:a="http://schemas.openxmlformats.org/drawingml/2006/main">
                  <a:graphicData uri="http://schemas.microsoft.com/office/word/2010/wordprocessingShape">
                    <wps:wsp>
                      <wps:cNvCnPr/>
                      <wps:spPr>
                        <a:xfrm flipH="1">
                          <a:off x="4940935" y="3896360"/>
                          <a:ext cx="6350" cy="154940"/>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flip:x;margin-left:298.3pt;margin-top:5.9pt;height:12.2pt;width:0.5pt;z-index:251669504;mso-width-relative:page;mso-height-relative:page;" filled="f" stroked="t" coordsize="21600,21600" o:gfxdata="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">
                <v:fill on="f" focussize="0,0"/>
                <v:stroke weight="1pt" color="#000000" miterlimit="8" joinstyle="miter" endarrow="open"/>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仿宋" w:hAnsi="仿宋" w:eastAsia="仿宋" w:cs="仿宋"/>
          <w:b/>
          <w:bCs/>
          <w:sz w:val="32"/>
          <w:szCs w:val="32"/>
          <w:vertAlign w:val="baseline"/>
          <w:lang w:val="en-US" w:eastAsia="zh-CN"/>
        </w:rPr>
      </w:pPr>
      <w:r>
        <w:rPr>
          <w:sz w:val="32"/>
        </w:rPr>
        <mc:AlternateContent>
          <mc:Choice Requires="wps">
            <w:drawing>
              <wp:anchor distT="0" distB="0" distL="114300" distR="114300" simplePos="0" relativeHeight="251673600" behindDoc="0" locked="0" layoutInCell="1" allowOverlap="1">
                <wp:simplePos x="0" y="0"/>
                <wp:positionH relativeFrom="column">
                  <wp:posOffset>4660900</wp:posOffset>
                </wp:positionH>
                <wp:positionV relativeFrom="paragraph">
                  <wp:posOffset>367030</wp:posOffset>
                </wp:positionV>
                <wp:extent cx="1270" cy="179705"/>
                <wp:effectExtent l="50165" t="0" r="62865" b="10795"/>
                <wp:wrapNone/>
                <wp:docPr id="18" name="直接箭头连接符 18"/>
                <wp:cNvGraphicFramePr/>
                <a:graphic xmlns:a="http://schemas.openxmlformats.org/drawingml/2006/main">
                  <a:graphicData uri="http://schemas.microsoft.com/office/word/2010/wordprocessingShape">
                    <wps:wsp>
                      <wps:cNvCnPr/>
                      <wps:spPr>
                        <a:xfrm>
                          <a:off x="5643245" y="4629785"/>
                          <a:ext cx="1270" cy="17970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367pt;margin-top:28.9pt;height:14.15pt;width:0.1pt;z-index:251673600;mso-width-relative:page;mso-height-relative:page;" filled="f" stroked="t" coordsize="21600,21600" o:gfxdata="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4Y1q0tYAAAAJ&#10;AQAADwAAAAAAAAABACAAAAAiAAAAZHJzL2Rvd25yZXYueG1sUEsBAhQAFAAAAAgAh07iQPsJXYUe&#10;AgAAAQQAAA4AAAAAAAAAAQAgAAAAJQEAAGRycy9lMm9Eb2MueG1sUEsFBgAAAAAGAAYAWQEAALUF&#10;AAAAAA==&#10;">
                <v:fill on="f" focussize="0,0"/>
                <v:stroke weight="1pt" color="#000000 [3200]"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1672576" behindDoc="0" locked="0" layoutInCell="1" allowOverlap="1">
                <wp:simplePos x="0" y="0"/>
                <wp:positionH relativeFrom="column">
                  <wp:posOffset>2750185</wp:posOffset>
                </wp:positionH>
                <wp:positionV relativeFrom="paragraph">
                  <wp:posOffset>354330</wp:posOffset>
                </wp:positionV>
                <wp:extent cx="6350" cy="186055"/>
                <wp:effectExtent l="47625" t="0" r="60325" b="137795"/>
                <wp:wrapNone/>
                <wp:docPr id="17" name="直接箭头连接符 17"/>
                <wp:cNvGraphicFramePr/>
                <a:graphic xmlns:a="http://schemas.openxmlformats.org/drawingml/2006/main">
                  <a:graphicData uri="http://schemas.microsoft.com/office/word/2010/wordprocessingShape">
                    <wps:wsp>
                      <wps:cNvCnPr/>
                      <wps:spPr>
                        <a:xfrm flipH="1">
                          <a:off x="3893185" y="4586605"/>
                          <a:ext cx="6350" cy="186055"/>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flip:x;margin-left:216.55pt;margin-top:27.9pt;height:14.65pt;width:0.5pt;z-index:251672576;mso-width-relative:page;mso-height-relative:page;" filled="f" stroked="t" coordsize="21600,21600" o:gfxdata="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&#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">
                <v:fill on="f" focussize="0,0"/>
                <v:stroke weight="1pt" color="#000000" miterlimit="8" joinstyle="miter" endarrow="open"/>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仿宋" w:hAnsi="仿宋" w:eastAsia="仿宋" w:cs="仿宋"/>
          <w:b/>
          <w:bCs/>
          <w:sz w:val="32"/>
          <w:szCs w:val="32"/>
          <w:vertAlign w:val="baseline"/>
          <w:lang w:val="en-US" w:eastAsia="zh-CN"/>
        </w:rPr>
      </w:pPr>
      <w:r>
        <w:rPr>
          <w:sz w:val="32"/>
        </w:rPr>
        <mc:AlternateContent>
          <mc:Choice Requires="wps">
            <w:drawing>
              <wp:anchor distT="0" distB="0" distL="114300" distR="114300" simplePos="0" relativeHeight="251676672" behindDoc="0" locked="0" layoutInCell="1" allowOverlap="1">
                <wp:simplePos x="0" y="0"/>
                <wp:positionH relativeFrom="column">
                  <wp:posOffset>3830955</wp:posOffset>
                </wp:positionH>
                <wp:positionV relativeFrom="paragraph">
                  <wp:posOffset>165735</wp:posOffset>
                </wp:positionV>
                <wp:extent cx="1548130" cy="476250"/>
                <wp:effectExtent l="4445" t="4445" r="9525" b="14605"/>
                <wp:wrapNone/>
                <wp:docPr id="22" name="文本框 22"/>
                <wp:cNvGraphicFramePr/>
                <a:graphic xmlns:a="http://schemas.openxmlformats.org/drawingml/2006/main">
                  <a:graphicData uri="http://schemas.microsoft.com/office/word/2010/wordprocessingShape">
                    <wps:wsp>
                      <wps:cNvSpPr txBox="1"/>
                      <wps:spPr>
                        <a:xfrm>
                          <a:off x="4976495" y="4855845"/>
                          <a:ext cx="1548130" cy="4762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eastAsia="zh-CN"/>
                              </w:rPr>
                              <w:t>根据要求派出有关人员和专家进行现场指导</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1.65pt;margin-top:13.05pt;height:37.5pt;width:121.9pt;z-index:251676672;mso-width-relative:page;mso-height-relative:page;" fillcolor="#FFFFFF [3201]" filled="t" stroked="t" coordsize="21600,21600" o:gfxdata="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EK3QE/VAAAACgEAAA8AAAAAAAAAAQAgAAAAIgAAAGRycy9kb3ducmV2LnhtbFBLAQIUABQA&#10;AAAIAIdO4kCDGdJ9ZQIAAMUEAAAOAAAAAAAAAAEAIAAAACQBAABkcnMvZTJvRG9jLnhtbFBLBQYA&#10;AAAABgAGAFkBAAD7BQAAAAA=&#10;">
                <v:fill on="t" focussize="0,0"/>
                <v:stroke weight="0.5pt" color="#000000 [3204]" joinstyle="round"/>
                <v:imagedata o:title=""/>
                <o:lock v:ext="edit" aspectratio="f"/>
                <v:textbox>
                  <w:txbxContent>
                    <w:p>
                      <w:pPr>
                        <w:rPr>
                          <w:rFonts w:hint="eastAsia" w:eastAsiaTheme="minorEastAsia"/>
                          <w:lang w:eastAsia="zh-CN"/>
                        </w:rPr>
                      </w:pPr>
                      <w:r>
                        <w:rPr>
                          <w:rFonts w:hint="eastAsia"/>
                          <w:lang w:eastAsia="zh-CN"/>
                        </w:rPr>
                        <w:t>根据要求派出有关人员和专家进行现场指导</w:t>
                      </w:r>
                    </w:p>
                  </w:txbxContent>
                </v:textbox>
              </v:shape>
            </w:pict>
          </mc:Fallback>
        </mc:AlternateContent>
      </w:r>
      <w:r>
        <w:rPr>
          <w:sz w:val="32"/>
        </w:rPr>
        <mc:AlternateContent>
          <mc:Choice Requires="wps">
            <w:drawing>
              <wp:anchor distT="0" distB="0" distL="114300" distR="114300" simplePos="0" relativeHeight="251675648" behindDoc="0" locked="0" layoutInCell="1" allowOverlap="1">
                <wp:simplePos x="0" y="0"/>
                <wp:positionH relativeFrom="column">
                  <wp:posOffset>1773555</wp:posOffset>
                </wp:positionH>
                <wp:positionV relativeFrom="paragraph">
                  <wp:posOffset>149225</wp:posOffset>
                </wp:positionV>
                <wp:extent cx="1868805" cy="476250"/>
                <wp:effectExtent l="4445" t="4445" r="12700" b="14605"/>
                <wp:wrapNone/>
                <wp:docPr id="21" name="文本框 21"/>
                <wp:cNvGraphicFramePr/>
                <a:graphic xmlns:a="http://schemas.openxmlformats.org/drawingml/2006/main">
                  <a:graphicData uri="http://schemas.microsoft.com/office/word/2010/wordprocessingShape">
                    <wps:wsp>
                      <wps:cNvSpPr txBox="1"/>
                      <wps:spPr>
                        <a:xfrm>
                          <a:off x="3226435" y="4820285"/>
                          <a:ext cx="1868805" cy="4762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eastAsia="zh-CN"/>
                              </w:rPr>
                              <w:t>指挥部下设各工作组按要求和相应政策开展工作</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9.65pt;margin-top:11.75pt;height:37.5pt;width:147.15pt;z-index:251675648;mso-width-relative:page;mso-height-relative:page;" fillcolor="#FFFFFF [3201]" filled="t" stroked="t" coordsize="21600,21600" o:gfxdata="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INiswdcAAAAJAQAADwAAAAAAAAABACAAAAAiAAAAZHJzL2Rvd25yZXYueG1sUEsBAhQA&#10;FAAAAAgAh07iQLvRsAhlAgAAxQQAAA4AAAAAAAAAAQAgAAAAJgEAAGRycy9lMm9Eb2MueG1sUEsF&#10;BgAAAAAGAAYAWQEAAP0FAAAAAA==&#10;">
                <v:fill on="t" focussize="0,0"/>
                <v:stroke weight="0.5pt" color="#000000 [3204]" joinstyle="round"/>
                <v:imagedata o:title=""/>
                <o:lock v:ext="edit" aspectratio="f"/>
                <v:textbox>
                  <w:txbxContent>
                    <w:p>
                      <w:pPr>
                        <w:rPr>
                          <w:rFonts w:hint="eastAsia" w:eastAsiaTheme="minorEastAsia"/>
                          <w:lang w:eastAsia="zh-CN"/>
                        </w:rPr>
                      </w:pPr>
                      <w:r>
                        <w:rPr>
                          <w:rFonts w:hint="eastAsia"/>
                          <w:lang w:eastAsia="zh-CN"/>
                        </w:rPr>
                        <w:t>指挥部下设各工作组按要求和相应政策开展工作</w:t>
                      </w:r>
                    </w:p>
                  </w:txbxContent>
                </v:textbox>
              </v:shape>
            </w:pict>
          </mc:Fallback>
        </mc:AlternateContent>
      </w:r>
      <w:r>
        <w:rPr>
          <w:sz w:val="32"/>
        </w:rPr>
        <mc:AlternateContent>
          <mc:Choice Requires="wps">
            <w:drawing>
              <wp:anchor distT="0" distB="0" distL="114300" distR="114300" simplePos="0" relativeHeight="251674624" behindDoc="0" locked="0" layoutInCell="1" allowOverlap="1">
                <wp:simplePos x="0" y="0"/>
                <wp:positionH relativeFrom="column">
                  <wp:posOffset>183515</wp:posOffset>
                </wp:positionH>
                <wp:positionV relativeFrom="paragraph">
                  <wp:posOffset>156210</wp:posOffset>
                </wp:positionV>
                <wp:extent cx="1356995" cy="464185"/>
                <wp:effectExtent l="4445" t="4445" r="10160" b="7620"/>
                <wp:wrapNone/>
                <wp:docPr id="20" name="文本框 20"/>
                <wp:cNvGraphicFramePr/>
                <a:graphic xmlns:a="http://schemas.openxmlformats.org/drawingml/2006/main">
                  <a:graphicData uri="http://schemas.microsoft.com/office/word/2010/wordprocessingShape">
                    <wps:wsp>
                      <wps:cNvSpPr txBox="1"/>
                      <wps:spPr>
                        <a:xfrm>
                          <a:off x="1285875" y="4808220"/>
                          <a:ext cx="1356995" cy="46418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eastAsia="zh-CN"/>
                              </w:rPr>
                              <w:t>食药安委成员单位按照要求到位</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45pt;margin-top:12.3pt;height:36.55pt;width:106.85pt;z-index:251674624;mso-width-relative:page;mso-height-relative:page;" fillcolor="#FFFFFF [3201]" filled="t" stroked="t" coordsize="21600,21600" o:gfxdata="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KSHaztYAAAAIAQAADwAAAAAAAAABACAAAAAiAAAAZHJzL2Rvd25yZXYueG1sUEsBAhQAFAAA&#10;AAgAh07iQDg7SYtjAgAAxQQAAA4AAAAAAAAAAQAgAAAAJQEAAGRycy9lMm9Eb2MueG1sUEsFBgAA&#10;AAAGAAYAWQEAAPoFAAAAAA==&#10;">
                <v:fill on="t" focussize="0,0"/>
                <v:stroke weight="0.5pt" color="#000000 [3204]" joinstyle="round"/>
                <v:imagedata o:title=""/>
                <o:lock v:ext="edit" aspectratio="f"/>
                <v:textbox>
                  <w:txbxContent>
                    <w:p>
                      <w:pPr>
                        <w:rPr>
                          <w:rFonts w:hint="eastAsia" w:eastAsiaTheme="minorEastAsia"/>
                          <w:lang w:eastAsia="zh-CN"/>
                        </w:rPr>
                      </w:pPr>
                      <w:r>
                        <w:rPr>
                          <w:rFonts w:hint="eastAsia"/>
                          <w:lang w:eastAsia="zh-CN"/>
                        </w:rPr>
                        <w:t>食药安委成员单位按照要求到位</w:t>
                      </w:r>
                    </w:p>
                  </w:txbxContent>
                </v:textbox>
              </v:shape>
            </w:pict>
          </mc:Fallback>
        </mc:AlternateContent>
      </w:r>
      <w:r>
        <w:rPr>
          <w:sz w:val="32"/>
        </w:rPr>
        <mc:AlternateContent>
          <mc:Choice Requires="wps">
            <w:drawing>
              <wp:anchor distT="0" distB="0" distL="114300" distR="114300" simplePos="0" relativeHeight="251671552" behindDoc="0" locked="0" layoutInCell="1" allowOverlap="1">
                <wp:simplePos x="0" y="0"/>
                <wp:positionH relativeFrom="column">
                  <wp:posOffset>864235</wp:posOffset>
                </wp:positionH>
                <wp:positionV relativeFrom="paragraph">
                  <wp:posOffset>8890</wp:posOffset>
                </wp:positionV>
                <wp:extent cx="0" cy="154940"/>
                <wp:effectExtent l="50800" t="0" r="63500" b="130810"/>
                <wp:wrapNone/>
                <wp:docPr id="16" name="直接箭头连接符 16"/>
                <wp:cNvGraphicFramePr/>
                <a:graphic xmlns:a="http://schemas.openxmlformats.org/drawingml/2006/main">
                  <a:graphicData uri="http://schemas.microsoft.com/office/word/2010/wordprocessingShape">
                    <wps:wsp>
                      <wps:cNvCnPr/>
                      <wps:spPr>
                        <a:xfrm>
                          <a:off x="1917065" y="4617720"/>
                          <a:ext cx="0" cy="154940"/>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margin-left:68.05pt;margin-top:0.7pt;height:12.2pt;width:0pt;z-index:251671552;mso-width-relative:page;mso-height-relative:page;" filled="f" stroked="t" coordsize="21600,21600" o:gfxdata="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">
                <v:fill on="f" focussize="0,0"/>
                <v:stroke weight="1pt" color="#000000" miterlimit="8" joinstyle="miter" endarrow="open"/>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仿宋" w:hAnsi="仿宋" w:eastAsia="仿宋" w:cs="仿宋"/>
          <w:b/>
          <w:bCs/>
          <w:sz w:val="32"/>
          <w:szCs w:val="32"/>
          <w:vertAlign w:val="baseline"/>
          <w:lang w:val="en-US" w:eastAsia="zh-CN"/>
        </w:rPr>
      </w:pPr>
      <w:r>
        <w:rPr>
          <w:sz w:val="32"/>
        </w:rPr>
        <mc:AlternateContent>
          <mc:Choice Requires="wps">
            <w:drawing>
              <wp:anchor distT="0" distB="0" distL="114300" distR="114300" simplePos="0" relativeHeight="251679744" behindDoc="0" locked="0" layoutInCell="1" allowOverlap="1">
                <wp:simplePos x="0" y="0"/>
                <wp:positionH relativeFrom="column">
                  <wp:posOffset>4747895</wp:posOffset>
                </wp:positionH>
                <wp:positionV relativeFrom="paragraph">
                  <wp:posOffset>290830</wp:posOffset>
                </wp:positionV>
                <wp:extent cx="8255" cy="220345"/>
                <wp:effectExtent l="6350" t="0" r="23495" b="8255"/>
                <wp:wrapNone/>
                <wp:docPr id="29" name="直接连接符 29"/>
                <wp:cNvGraphicFramePr/>
                <a:graphic xmlns:a="http://schemas.openxmlformats.org/drawingml/2006/main">
                  <a:graphicData uri="http://schemas.microsoft.com/office/word/2010/wordprocessingShape">
                    <wps:wsp>
                      <wps:cNvCnPr/>
                      <wps:spPr>
                        <a:xfrm flipH="1">
                          <a:off x="5750560" y="5332095"/>
                          <a:ext cx="8255" cy="2203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x;margin-left:373.85pt;margin-top:22.9pt;height:17.35pt;width:0.65pt;z-index:251679744;mso-width-relative:page;mso-height-relative:page;" filled="f" stroked="t" coordsize="21600,21600" o:gfxdata="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QZxirNcAAAAJAQAADwAAAAAAAAABACAAAAAiAAAAZHJzL2Rvd25yZXYu&#10;eG1sUEsBAhQAFAAAAAgAh07iQG78sRz8AQAAzAMAAA4AAAAAAAAAAQAgAAAAJgEAAGRycy9lMm9E&#10;b2MueG1sUEsFBgAAAAAGAAYAWQEAAJQFAAAAAA==&#10;">
                <v:fill on="f" focussize="0,0"/>
                <v:stroke weight="1pt" color="#000000 [3200]" miterlimit="8" joinstyle="miter"/>
                <v:imagedata o:title=""/>
                <o:lock v:ext="edit" aspectratio="f"/>
              </v:line>
            </w:pict>
          </mc:Fallback>
        </mc:AlternateContent>
      </w:r>
      <w:r>
        <w:rPr>
          <w:sz w:val="32"/>
        </w:rPr>
        <mc:AlternateContent>
          <mc:Choice Requires="wps">
            <w:drawing>
              <wp:anchor distT="0" distB="0" distL="114300" distR="114300" simplePos="0" relativeHeight="251678720" behindDoc="0" locked="0" layoutInCell="1" allowOverlap="1">
                <wp:simplePos x="0" y="0"/>
                <wp:positionH relativeFrom="column">
                  <wp:posOffset>803275</wp:posOffset>
                </wp:positionH>
                <wp:positionV relativeFrom="paragraph">
                  <wp:posOffset>243205</wp:posOffset>
                </wp:positionV>
                <wp:extent cx="0" cy="245745"/>
                <wp:effectExtent l="6350" t="0" r="12700" b="1905"/>
                <wp:wrapNone/>
                <wp:docPr id="28" name="直接连接符 28"/>
                <wp:cNvGraphicFramePr/>
                <a:graphic xmlns:a="http://schemas.openxmlformats.org/drawingml/2006/main">
                  <a:graphicData uri="http://schemas.microsoft.com/office/word/2010/wordprocessingShape">
                    <wps:wsp>
                      <wps:cNvCnPr/>
                      <wps:spPr>
                        <a:xfrm>
                          <a:off x="2024380" y="5272405"/>
                          <a:ext cx="0" cy="2457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63.25pt;margin-top:19.15pt;height:19.35pt;width:0pt;z-index:251678720;mso-width-relative:page;mso-height-relative:page;" filled="f" stroked="t" coordsize="21600,21600" o:gfxdata="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NAYC12AAAAAkBAAAPAAAAAAAAAAEAIAAAACIAAABkcnMvZG93bnJldi54bWxQSwECFAAU&#10;AAAACACHTuJAlq8xWfEBAAC/AwAADgAAAAAAAAABACAAAAAnAQAAZHJzL2Uyb0RvYy54bWxQSwUG&#10;AAAAAAYABgBZAQAAigUAAAAA&#10;">
                <v:fill on="f" focussize="0,0"/>
                <v:stroke weight="1pt" color="#000000 [3200]" miterlimit="8" joinstyle="miter"/>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仿宋" w:hAnsi="仿宋" w:eastAsia="仿宋" w:cs="仿宋"/>
          <w:b/>
          <w:bCs/>
          <w:sz w:val="32"/>
          <w:szCs w:val="32"/>
          <w:vertAlign w:val="baseline"/>
          <w:lang w:val="en-US" w:eastAsia="zh-CN"/>
        </w:rPr>
      </w:pPr>
      <w:r>
        <w:rPr>
          <w:sz w:val="32"/>
        </w:rPr>
        <mc:AlternateContent>
          <mc:Choice Requires="wps">
            <w:drawing>
              <wp:anchor distT="0" distB="0" distL="114300" distR="114300" simplePos="0" relativeHeight="251681792" behindDoc="0" locked="0" layoutInCell="1" allowOverlap="1">
                <wp:simplePos x="0" y="0"/>
                <wp:positionH relativeFrom="column">
                  <wp:posOffset>194945</wp:posOffset>
                </wp:positionH>
                <wp:positionV relativeFrom="paragraph">
                  <wp:posOffset>336550</wp:posOffset>
                </wp:positionV>
                <wp:extent cx="5203190" cy="465455"/>
                <wp:effectExtent l="5080" t="4445" r="11430" b="6350"/>
                <wp:wrapNone/>
                <wp:docPr id="31" name="文本框 31"/>
                <wp:cNvGraphicFramePr/>
                <a:graphic xmlns:a="http://schemas.openxmlformats.org/drawingml/2006/main">
                  <a:graphicData uri="http://schemas.microsoft.com/office/word/2010/wordprocessingShape">
                    <wps:wsp>
                      <wps:cNvSpPr txBox="1"/>
                      <wps:spPr>
                        <a:xfrm>
                          <a:off x="1356995" y="5748655"/>
                          <a:ext cx="5203190" cy="46545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eastAsia="zh-CN"/>
                              </w:rPr>
                              <w:t>应急处置指挥部收集信息，进行情况分析判断，采取科学应急处置措施，根据事故发展态势，确定是否报请响应升级。</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35pt;margin-top:26.5pt;height:36.65pt;width:409.7pt;z-index:251681792;mso-width-relative:page;mso-height-relative:page;" fillcolor="#FFFFFF [3201]" filled="t" stroked="t" coordsize="21600,21600" o:gfxdata="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PFkX7tYAAAAJAQAADwAAAAAAAAABACAAAAAiAAAAZHJzL2Rvd25yZXYueG1sUEsBAhQA&#10;FAAAAAgAh07iQJ700AlmAgAAxQQAAA4AAAAAAAAAAQAgAAAAJQEAAGRycy9lMm9Eb2MueG1sUEsF&#10;BgAAAAAGAAYAWQEAAP0FAAAAAA==&#10;">
                <v:fill on="t" focussize="0,0"/>
                <v:stroke weight="0.5pt" color="#000000 [3204]" joinstyle="round"/>
                <v:imagedata o:title=""/>
                <o:lock v:ext="edit" aspectratio="f"/>
                <v:textbox>
                  <w:txbxContent>
                    <w:p>
                      <w:pPr>
                        <w:rPr>
                          <w:rFonts w:hint="eastAsia" w:eastAsiaTheme="minorEastAsia"/>
                          <w:lang w:eastAsia="zh-CN"/>
                        </w:rPr>
                      </w:pPr>
                      <w:r>
                        <w:rPr>
                          <w:rFonts w:hint="eastAsia"/>
                          <w:lang w:eastAsia="zh-CN"/>
                        </w:rPr>
                        <w:t>应急处置指挥部收集信息，进行情况分析判断，采取科学应急处置措施，根据事故发展态势，确定是否报请响应升级。</w:t>
                      </w:r>
                    </w:p>
                  </w:txbxContent>
                </v:textbox>
              </v:shape>
            </w:pict>
          </mc:Fallback>
        </mc:AlternateContent>
      </w:r>
      <w:r>
        <w:rPr>
          <w:sz w:val="32"/>
        </w:rPr>
        <mc:AlternateContent>
          <mc:Choice Requires="wps">
            <w:drawing>
              <wp:anchor distT="0" distB="0" distL="114300" distR="114300" simplePos="0" relativeHeight="251680768" behindDoc="0" locked="0" layoutInCell="1" allowOverlap="1">
                <wp:simplePos x="0" y="0"/>
                <wp:positionH relativeFrom="column">
                  <wp:posOffset>2803525</wp:posOffset>
                </wp:positionH>
                <wp:positionV relativeFrom="paragraph">
                  <wp:posOffset>136525</wp:posOffset>
                </wp:positionV>
                <wp:extent cx="3810" cy="167640"/>
                <wp:effectExtent l="48895" t="0" r="61595" b="137160"/>
                <wp:wrapNone/>
                <wp:docPr id="30" name="直接箭头连接符 30"/>
                <wp:cNvGraphicFramePr/>
                <a:graphic xmlns:a="http://schemas.openxmlformats.org/drawingml/2006/main">
                  <a:graphicData uri="http://schemas.microsoft.com/office/word/2010/wordprocessingShape">
                    <wps:wsp>
                      <wps:cNvCnPr/>
                      <wps:spPr>
                        <a:xfrm>
                          <a:off x="3762375" y="5594350"/>
                          <a:ext cx="3810" cy="167640"/>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margin-left:220.75pt;margin-top:10.75pt;height:13.2pt;width:0.3pt;z-index:251680768;mso-width-relative:page;mso-height-relative:page;" filled="f" stroked="t" coordsize="21600,21600" o:gfxdata="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">
                <v:fill on="f" focussize="0,0"/>
                <v:stroke weight="1pt" color="#000000"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1677696" behindDoc="0" locked="0" layoutInCell="1" allowOverlap="1">
                <wp:simplePos x="0" y="0"/>
                <wp:positionH relativeFrom="column">
                  <wp:posOffset>803275</wp:posOffset>
                </wp:positionH>
                <wp:positionV relativeFrom="paragraph">
                  <wp:posOffset>127000</wp:posOffset>
                </wp:positionV>
                <wp:extent cx="3933825" cy="11430"/>
                <wp:effectExtent l="0" t="0" r="0" b="0"/>
                <wp:wrapNone/>
                <wp:docPr id="27" name="直接连接符 27"/>
                <wp:cNvGraphicFramePr/>
                <a:graphic xmlns:a="http://schemas.openxmlformats.org/drawingml/2006/main">
                  <a:graphicData uri="http://schemas.microsoft.com/office/word/2010/wordprocessingShape">
                    <wps:wsp>
                      <wps:cNvCnPr/>
                      <wps:spPr>
                        <a:xfrm>
                          <a:off x="1976120" y="5546725"/>
                          <a:ext cx="3933825" cy="114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63.25pt;margin-top:10pt;height:0.9pt;width:309.75pt;z-index:251677696;mso-width-relative:page;mso-height-relative:page;" filled="f" stroked="t" coordsize="21600,21600" o:gfxdata="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LfHAZfYAAAACQEAAA8AAAAAAAAAAQAgAAAAIgAAAGRycy9kb3ducmV2LnhtbFBL&#10;AQIUABQAAAAIAIdO4kAtkWbM9gEAAMQDAAAOAAAAAAAAAAEAIAAAACcBAABkcnMvZTJvRG9jLnht&#10;bFBLBQYAAAAABgAGAFkBAACPBQAAAAA=&#10;">
                <v:fill on="f" focussize="0,0"/>
                <v:stroke weight="1pt" color="#000000 [3200]" miterlimit="8" joinstyle="miter"/>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default" w:ascii="仿宋" w:hAnsi="仿宋" w:eastAsia="仿宋" w:cs="仿宋"/>
          <w:b/>
          <w:bCs/>
          <w:sz w:val="32"/>
          <w:szCs w:val="32"/>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仿宋" w:hAnsi="仿宋" w:eastAsia="仿宋" w:cs="仿宋"/>
          <w:b/>
          <w:bCs/>
          <w:sz w:val="32"/>
          <w:szCs w:val="32"/>
          <w:vertAlign w:val="baseline"/>
          <w:lang w:val="en-US" w:eastAsia="zh-CN"/>
        </w:rPr>
      </w:pPr>
      <w:r>
        <w:rPr>
          <w:sz w:val="32"/>
        </w:rPr>
        <mc:AlternateContent>
          <mc:Choice Requires="wps">
            <w:drawing>
              <wp:anchor distT="0" distB="0" distL="114300" distR="114300" simplePos="0" relativeHeight="251683840" behindDoc="0" locked="0" layoutInCell="1" allowOverlap="1">
                <wp:simplePos x="0" y="0"/>
                <wp:positionH relativeFrom="column">
                  <wp:posOffset>202565</wp:posOffset>
                </wp:positionH>
                <wp:positionV relativeFrom="paragraph">
                  <wp:posOffset>210820</wp:posOffset>
                </wp:positionV>
                <wp:extent cx="5205095" cy="316230"/>
                <wp:effectExtent l="4445" t="4445" r="10160" b="22225"/>
                <wp:wrapNone/>
                <wp:docPr id="33" name="文本框 33"/>
                <wp:cNvGraphicFramePr/>
                <a:graphic xmlns:a="http://schemas.openxmlformats.org/drawingml/2006/main">
                  <a:graphicData uri="http://schemas.microsoft.com/office/word/2010/wordprocessingShape">
                    <wps:wsp>
                      <wps:cNvSpPr txBox="1"/>
                      <wps:spPr>
                        <a:xfrm>
                          <a:off x="1393190" y="6510655"/>
                          <a:ext cx="5205095" cy="316230"/>
                        </a:xfrm>
                        <a:prstGeom prst="rect">
                          <a:avLst/>
                        </a:prstGeom>
                        <a:solidFill>
                          <a:schemeClr val="lt1"/>
                        </a:solid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eastAsia="zh-CN"/>
                              </w:rPr>
                              <w:t>应急处置指挥部根据事态发展，提请开发区管委会同意后报市政府是否响应升级</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95pt;margin-top:16.6pt;height:24.9pt;width:409.85pt;z-index:251683840;mso-width-relative:page;mso-height-relative:page;" fillcolor="#FFFFFF [3201]" filled="t" stroked="t" coordsize="21600,21600" o:gfxdata="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GXq7jXVAAAACAEAAA8AAAAAAAAAAQAgAAAAIgAAAGRycy9kb3ducmV2LnhtbFBLAQIUABQA&#10;AAAIAIdO4kDPL269ZQIAAMYEAAAOAAAAAAAAAAEAIAAAACQBAABkcnMvZTJvRG9jLnhtbFBLBQYA&#10;AAAABgAGAFkBAAD7BQAAAAA=&#10;">
                <v:fill on="t" focussize="0,0"/>
                <v:stroke weight="0.5pt" color="#000000 [3213]" joinstyle="round"/>
                <v:imagedata o:title=""/>
                <o:lock v:ext="edit" aspectratio="f"/>
                <v:textbox>
                  <w:txbxContent>
                    <w:p>
                      <w:pPr>
                        <w:rPr>
                          <w:rFonts w:hint="eastAsia" w:eastAsiaTheme="minorEastAsia"/>
                          <w:lang w:eastAsia="zh-CN"/>
                        </w:rPr>
                      </w:pPr>
                      <w:r>
                        <w:rPr>
                          <w:rFonts w:hint="eastAsia"/>
                          <w:lang w:eastAsia="zh-CN"/>
                        </w:rPr>
                        <w:t>应急处置指挥部根据事态发展，提请开发区管委会同意后报市政府是否响应升级</w:t>
                      </w:r>
                    </w:p>
                  </w:txbxContent>
                </v:textbox>
              </v:shape>
            </w:pict>
          </mc:Fallback>
        </mc:AlternateContent>
      </w:r>
      <w:r>
        <w:rPr>
          <w:sz w:val="32"/>
        </w:rPr>
        <mc:AlternateContent>
          <mc:Choice Requires="wps">
            <w:drawing>
              <wp:anchor distT="0" distB="0" distL="114300" distR="114300" simplePos="0" relativeHeight="251682816" behindDoc="0" locked="0" layoutInCell="1" allowOverlap="1">
                <wp:simplePos x="0" y="0"/>
                <wp:positionH relativeFrom="column">
                  <wp:posOffset>2851150</wp:posOffset>
                </wp:positionH>
                <wp:positionV relativeFrom="paragraph">
                  <wp:posOffset>76200</wp:posOffset>
                </wp:positionV>
                <wp:extent cx="3810" cy="106045"/>
                <wp:effectExtent l="47625" t="0" r="62865" b="8255"/>
                <wp:wrapNone/>
                <wp:docPr id="32" name="直接箭头连接符 32"/>
                <wp:cNvGraphicFramePr/>
                <a:graphic xmlns:a="http://schemas.openxmlformats.org/drawingml/2006/main">
                  <a:graphicData uri="http://schemas.microsoft.com/office/word/2010/wordprocessingShape">
                    <wps:wsp>
                      <wps:cNvCnPr/>
                      <wps:spPr>
                        <a:xfrm flipH="1">
                          <a:off x="3702685" y="6236970"/>
                          <a:ext cx="3810" cy="10604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224.5pt;margin-top:6pt;height:8.35pt;width:0.3pt;z-index:251682816;mso-width-relative:page;mso-height-relative:page;" filled="f" stroked="t" coordsize="21600,21600" o:gfxdata="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gx/NA2gAAAAkBAAAPAAAAAAAAAAEAIAAAACIAAABkcnMvZG93bnJldi54bWxQSwECFAAUAAAA&#10;CACHTuJA3UXvDyUCAAALBAAADgAAAAAAAAABACAAAAApAQAAZHJzL2Uyb0RvYy54bWxQSwUGAAAA&#10;AAYABgBZAQAAwAUAAAAA&#10;">
                <v:fill on="f" focussize="0,0"/>
                <v:stroke weight="1pt" color="#000000 [3200]" miterlimit="8" joinstyle="miter" endarrow="open"/>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仿宋" w:hAnsi="仿宋" w:eastAsia="仿宋" w:cs="仿宋"/>
          <w:b/>
          <w:bCs/>
          <w:sz w:val="32"/>
          <w:szCs w:val="32"/>
          <w:vertAlign w:val="baseline"/>
          <w:lang w:val="en-US" w:eastAsia="zh-CN"/>
        </w:rPr>
      </w:pPr>
      <w:r>
        <w:rPr>
          <w:sz w:val="32"/>
        </w:rPr>
        <mc:AlternateContent>
          <mc:Choice Requires="wps">
            <w:drawing>
              <wp:anchor distT="0" distB="0" distL="114300" distR="114300" simplePos="0" relativeHeight="251687936" behindDoc="0" locked="0" layoutInCell="1" allowOverlap="1">
                <wp:simplePos x="0" y="0"/>
                <wp:positionH relativeFrom="column">
                  <wp:posOffset>3261995</wp:posOffset>
                </wp:positionH>
                <wp:positionV relativeFrom="paragraph">
                  <wp:posOffset>360045</wp:posOffset>
                </wp:positionV>
                <wp:extent cx="2131695" cy="488315"/>
                <wp:effectExtent l="5080" t="4445" r="15875" b="21590"/>
                <wp:wrapNone/>
                <wp:docPr id="37" name="文本框 37"/>
                <wp:cNvGraphicFramePr/>
                <a:graphic xmlns:a="http://schemas.openxmlformats.org/drawingml/2006/main">
                  <a:graphicData uri="http://schemas.microsoft.com/office/word/2010/wordprocessingShape">
                    <wps:wsp>
                      <wps:cNvSpPr txBox="1"/>
                      <wps:spPr>
                        <a:xfrm>
                          <a:off x="4404995" y="7094220"/>
                          <a:ext cx="2131695" cy="48831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eastAsia="zh-CN"/>
                              </w:rPr>
                              <w:t>同意响应升级后，由上级启用相应应急预案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6.85pt;margin-top:28.35pt;height:38.45pt;width:167.85pt;z-index:251687936;mso-width-relative:page;mso-height-relative:page;" fillcolor="#FFFFFF [3201]" filled="t" stroked="t" coordsize="21600,21600" o:gfxdata="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AYCx3G1gAAAAoBAAAPAAAAAAAAAAEAIAAAACIAAABkcnMvZG93bnJldi54bWxQSwECFAAU&#10;AAAACACHTuJAYBConGUCAADFBAAADgAAAAAAAAABACAAAAAlAQAAZHJzL2Uyb0RvYy54bWxQSwUG&#10;AAAAAAYABgBZAQAA/AUAAAAA&#10;">
                <v:fill on="t" focussize="0,0"/>
                <v:stroke weight="0.5pt" color="#000000 [3204]" joinstyle="round"/>
                <v:imagedata o:title=""/>
                <o:lock v:ext="edit" aspectratio="f"/>
                <v:textbox>
                  <w:txbxContent>
                    <w:p>
                      <w:pPr>
                        <w:rPr>
                          <w:rFonts w:hint="eastAsia" w:eastAsiaTheme="minorEastAsia"/>
                          <w:lang w:eastAsia="zh-CN"/>
                        </w:rPr>
                      </w:pPr>
                      <w:r>
                        <w:rPr>
                          <w:rFonts w:hint="eastAsia"/>
                          <w:lang w:eastAsia="zh-CN"/>
                        </w:rPr>
                        <w:t>同意响应升级后，由上级启用相应应急预案</w:t>
                      </w:r>
                    </w:p>
                  </w:txbxContent>
                </v:textbox>
              </v:shape>
            </w:pict>
          </mc:Fallback>
        </mc:AlternateContent>
      </w:r>
      <w:r>
        <w:rPr>
          <w:sz w:val="32"/>
        </w:rPr>
        <mc:AlternateContent>
          <mc:Choice Requires="wps">
            <w:drawing>
              <wp:anchor distT="0" distB="0" distL="114300" distR="114300" simplePos="0" relativeHeight="251685888" behindDoc="0" locked="0" layoutInCell="1" allowOverlap="1">
                <wp:simplePos x="0" y="0"/>
                <wp:positionH relativeFrom="column">
                  <wp:posOffset>189865</wp:posOffset>
                </wp:positionH>
                <wp:positionV relativeFrom="paragraph">
                  <wp:posOffset>328930</wp:posOffset>
                </wp:positionV>
                <wp:extent cx="2191385" cy="499745"/>
                <wp:effectExtent l="4445" t="4445" r="13970" b="10160"/>
                <wp:wrapNone/>
                <wp:docPr id="35" name="文本框 35"/>
                <wp:cNvGraphicFramePr/>
                <a:graphic xmlns:a="http://schemas.openxmlformats.org/drawingml/2006/main">
                  <a:graphicData uri="http://schemas.microsoft.com/office/word/2010/wordprocessingShape">
                    <wps:wsp>
                      <wps:cNvSpPr txBox="1"/>
                      <wps:spPr>
                        <a:xfrm>
                          <a:off x="1404620" y="7082155"/>
                          <a:ext cx="2191385" cy="49974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eastAsia="zh-CN"/>
                              </w:rPr>
                              <w:t>不符合响应升级条件，继续开展应急处置工作</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95pt;margin-top:25.9pt;height:39.35pt;width:172.55pt;z-index:251685888;mso-width-relative:page;mso-height-relative:page;" fillcolor="#FFFFFF [3201]" filled="t" stroked="t" coordsize="21600,21600" o:gfxdata="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9D5Bg1gAAAAkBAAAPAAAAAAAAAAEAIAAAACIAAABkcnMvZG93bnJldi54bWxQSwEC&#10;FAAUAAAACACHTuJAlJLth2gCAADFBAAADgAAAAAAAAABACAAAAAlAQAAZHJzL2Uyb0RvYy54bWxQ&#10;SwUGAAAAAAYABgBZAQAA/wUAAAAA&#10;">
                <v:fill on="t" focussize="0,0"/>
                <v:stroke weight="0.5pt" color="#000000 [3204]" joinstyle="round"/>
                <v:imagedata o:title=""/>
                <o:lock v:ext="edit" aspectratio="f"/>
                <v:textbox>
                  <w:txbxContent>
                    <w:p>
                      <w:pPr>
                        <w:rPr>
                          <w:rFonts w:hint="eastAsia" w:eastAsiaTheme="minorEastAsia"/>
                          <w:lang w:eastAsia="zh-CN"/>
                        </w:rPr>
                      </w:pPr>
                      <w:r>
                        <w:rPr>
                          <w:rFonts w:hint="eastAsia"/>
                          <w:lang w:eastAsia="zh-CN"/>
                        </w:rPr>
                        <w:t>不符合响应升级条件，继续开展应急处置工作</w:t>
                      </w:r>
                    </w:p>
                  </w:txbxContent>
                </v:textbox>
              </v:shape>
            </w:pict>
          </mc:Fallback>
        </mc:AlternateContent>
      </w:r>
      <w:r>
        <w:rPr>
          <w:sz w:val="32"/>
        </w:rPr>
        <mc:AlternateContent>
          <mc:Choice Requires="wps">
            <w:drawing>
              <wp:anchor distT="0" distB="0" distL="114300" distR="114300" simplePos="0" relativeHeight="251686912" behindDoc="0" locked="0" layoutInCell="1" allowOverlap="1">
                <wp:simplePos x="0" y="0"/>
                <wp:positionH relativeFrom="column">
                  <wp:posOffset>4460875</wp:posOffset>
                </wp:positionH>
                <wp:positionV relativeFrom="paragraph">
                  <wp:posOffset>147955</wp:posOffset>
                </wp:positionV>
                <wp:extent cx="8255" cy="188595"/>
                <wp:effectExtent l="46990" t="0" r="59055" b="1905"/>
                <wp:wrapNone/>
                <wp:docPr id="36" name="直接箭头连接符 36"/>
                <wp:cNvGraphicFramePr/>
                <a:graphic xmlns:a="http://schemas.openxmlformats.org/drawingml/2006/main">
                  <a:graphicData uri="http://schemas.microsoft.com/office/word/2010/wordprocessingShape">
                    <wps:wsp>
                      <wps:cNvCnPr/>
                      <wps:spPr>
                        <a:xfrm flipH="1">
                          <a:off x="5226685" y="6856095"/>
                          <a:ext cx="8255" cy="18859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351.25pt;margin-top:11.65pt;height:14.85pt;width:0.65pt;z-index:251686912;mso-width-relative:page;mso-height-relative:page;" filled="f" stroked="t" coordsize="21600,21600" o:gfxdata="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GFgCaXaAAAACQEAAA8AAAAAAAAAAQAgAAAAIgAAAGRycy9kb3ducmV2LnhtbFBLAQIUABQAAAAI&#10;AIdO4kADbByXJAIAAAsEAAAOAAAAAAAAAAEAIAAAACkBAABkcnMvZTJvRG9jLnhtbFBLBQYAAAAA&#10;BgAGAFkBAAC/BQAAAAA=&#10;">
                <v:fill on="f" focussize="0,0"/>
                <v:stroke weight="1pt" color="#000000 [3200]"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1684864" behindDoc="0" locked="0" layoutInCell="1" allowOverlap="1">
                <wp:simplePos x="0" y="0"/>
                <wp:positionH relativeFrom="column">
                  <wp:posOffset>1260475</wp:posOffset>
                </wp:positionH>
                <wp:positionV relativeFrom="paragraph">
                  <wp:posOffset>190500</wp:posOffset>
                </wp:positionV>
                <wp:extent cx="6350" cy="117475"/>
                <wp:effectExtent l="45720" t="635" r="62230" b="15240"/>
                <wp:wrapNone/>
                <wp:docPr id="34" name="直接箭头连接符 34"/>
                <wp:cNvGraphicFramePr/>
                <a:graphic xmlns:a="http://schemas.openxmlformats.org/drawingml/2006/main">
                  <a:graphicData uri="http://schemas.microsoft.com/office/word/2010/wordprocessingShape">
                    <wps:wsp>
                      <wps:cNvCnPr/>
                      <wps:spPr>
                        <a:xfrm flipH="1">
                          <a:off x="2071370" y="6868160"/>
                          <a:ext cx="6350" cy="11747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99.25pt;margin-top:15pt;height:9.25pt;width:0.5pt;z-index:251684864;mso-width-relative:page;mso-height-relative:page;" filled="f" stroked="t" coordsize="21600,21600" o:gfxdata="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BD34sZ2QAAAAkBAAAPAAAAAAAAAAEAIAAAACIAAABkcnMvZG93bnJldi54bWxQSwECFAAUAAAA&#10;CACHTuJAQFL7JSYCAAALBAAADgAAAAAAAAABACAAAAAoAQAAZHJzL2Uyb0RvYy54bWxQSwUGAAAA&#10;AAYABgBZAQAAwAUAAAAA&#10;">
                <v:fill on="f" focussize="0,0"/>
                <v:stroke weight="1pt" color="#000000 [3200]" miterlimit="8" joinstyle="miter" endarrow="open"/>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default" w:ascii="仿宋" w:hAnsi="仿宋" w:eastAsia="仿宋" w:cs="仿宋"/>
          <w:b/>
          <w:bCs/>
          <w:sz w:val="32"/>
          <w:szCs w:val="32"/>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仿宋" w:hAnsi="仿宋" w:eastAsia="仿宋" w:cs="仿宋"/>
          <w:b/>
          <w:bCs/>
          <w:sz w:val="32"/>
          <w:szCs w:val="32"/>
          <w:vertAlign w:val="baseline"/>
          <w:lang w:val="en-US" w:eastAsia="zh-CN"/>
        </w:rPr>
      </w:pPr>
      <w:r>
        <w:rPr>
          <w:sz w:val="32"/>
        </w:rPr>
        <mc:AlternateContent>
          <mc:Choice Requires="wps">
            <w:drawing>
              <wp:anchor distT="0" distB="0" distL="114300" distR="114300" simplePos="0" relativeHeight="251689984" behindDoc="0" locked="0" layoutInCell="1" allowOverlap="1">
                <wp:simplePos x="0" y="0"/>
                <wp:positionH relativeFrom="column">
                  <wp:posOffset>304800</wp:posOffset>
                </wp:positionH>
                <wp:positionV relativeFrom="paragraph">
                  <wp:posOffset>288290</wp:posOffset>
                </wp:positionV>
                <wp:extent cx="1583690" cy="464185"/>
                <wp:effectExtent l="4445" t="4445" r="12065" b="7620"/>
                <wp:wrapNone/>
                <wp:docPr id="39" name="文本框 39"/>
                <wp:cNvGraphicFramePr/>
                <a:graphic xmlns:a="http://schemas.openxmlformats.org/drawingml/2006/main">
                  <a:graphicData uri="http://schemas.microsoft.com/office/word/2010/wordprocessingShape">
                    <wps:wsp>
                      <wps:cNvSpPr txBox="1"/>
                      <wps:spPr>
                        <a:xfrm>
                          <a:off x="1333500" y="7805420"/>
                          <a:ext cx="1583690" cy="46418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eastAsia="zh-CN"/>
                              </w:rPr>
                              <w:t>指挥部视情建议解除应急响应</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pt;margin-top:22.7pt;height:36.55pt;width:124.7pt;z-index:251689984;mso-width-relative:page;mso-height-relative:page;" fillcolor="#FFFFFF [3201]" filled="t" stroked="t" coordsize="21600,21600" o:gfxdata="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Krwlq3XAAAACQEAAA8AAAAAAAAAAQAgAAAAIgAAAGRycy9kb3ducmV2LnhtbFBLAQIUABQA&#10;AAAIAIdO4kD40S/tYwIAAMUEAAAOAAAAAAAAAAEAIAAAACYBAABkcnMvZTJvRG9jLnhtbFBLBQYA&#10;AAAABgAGAFkBAAD7BQAAAAA=&#10;">
                <v:fill on="t" focussize="0,0"/>
                <v:stroke weight="0.5pt" color="#000000 [3204]" joinstyle="round"/>
                <v:imagedata o:title=""/>
                <o:lock v:ext="edit" aspectratio="f"/>
                <v:textbox>
                  <w:txbxContent>
                    <w:p>
                      <w:pPr>
                        <w:rPr>
                          <w:rFonts w:hint="eastAsia" w:eastAsiaTheme="minorEastAsia"/>
                          <w:lang w:eastAsia="zh-CN"/>
                        </w:rPr>
                      </w:pPr>
                      <w:r>
                        <w:rPr>
                          <w:rFonts w:hint="eastAsia"/>
                          <w:lang w:eastAsia="zh-CN"/>
                        </w:rPr>
                        <w:t>指挥部视情建议解除应急响应</w:t>
                      </w:r>
                    </w:p>
                  </w:txbxContent>
                </v:textbox>
              </v:shape>
            </w:pict>
          </mc:Fallback>
        </mc:AlternateContent>
      </w:r>
      <w:r>
        <w:rPr>
          <w:sz w:val="32"/>
        </w:rPr>
        <mc:AlternateContent>
          <mc:Choice Requires="wps">
            <w:drawing>
              <wp:anchor distT="0" distB="0" distL="114300" distR="114300" simplePos="0" relativeHeight="251692032" behindDoc="0" locked="0" layoutInCell="1" allowOverlap="1">
                <wp:simplePos x="0" y="0"/>
                <wp:positionH relativeFrom="column">
                  <wp:posOffset>2385695</wp:posOffset>
                </wp:positionH>
                <wp:positionV relativeFrom="paragraph">
                  <wp:posOffset>238125</wp:posOffset>
                </wp:positionV>
                <wp:extent cx="3024505" cy="487680"/>
                <wp:effectExtent l="4445" t="4445" r="19050" b="22225"/>
                <wp:wrapNone/>
                <wp:docPr id="41" name="文本框 41"/>
                <wp:cNvGraphicFramePr/>
                <a:graphic xmlns:a="http://schemas.openxmlformats.org/drawingml/2006/main">
                  <a:graphicData uri="http://schemas.microsoft.com/office/word/2010/wordprocessingShape">
                    <wps:wsp>
                      <wps:cNvSpPr txBox="1"/>
                      <wps:spPr>
                        <a:xfrm>
                          <a:off x="3595370" y="7840980"/>
                          <a:ext cx="3024505" cy="48768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eastAsia="zh-CN"/>
                              </w:rPr>
                              <w:t>上级负责成立现场指挥部，及时提升（降低）预警和响应等级</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7.85pt;margin-top:18.75pt;height:38.4pt;width:238.15pt;z-index:251692032;mso-width-relative:page;mso-height-relative:page;" fillcolor="#FFFFFF [3201]" filled="t" stroked="t" coordsize="21600,21600" o:gfxdata="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KHotHdYAAAAKAQAADwAAAAAAAAABACAAAAAiAAAAZHJzL2Rvd25yZXYueG1sUEsBAhQA&#10;FAAAAAgAh07iQH7bpGRmAgAAxQQAAA4AAAAAAAAAAQAgAAAAJQEAAGRycy9lMm9Eb2MueG1sUEsF&#10;BgAAAAAGAAYAWQEAAP0FAAAAAA==&#10;">
                <v:fill on="t" focussize="0,0"/>
                <v:stroke weight="0.5pt" color="#000000 [3204]" joinstyle="round"/>
                <v:imagedata o:title=""/>
                <o:lock v:ext="edit" aspectratio="f"/>
                <v:textbox>
                  <w:txbxContent>
                    <w:p>
                      <w:pPr>
                        <w:rPr>
                          <w:rFonts w:hint="eastAsia" w:eastAsiaTheme="minorEastAsia"/>
                          <w:lang w:eastAsia="zh-CN"/>
                        </w:rPr>
                      </w:pPr>
                      <w:r>
                        <w:rPr>
                          <w:rFonts w:hint="eastAsia"/>
                          <w:lang w:eastAsia="zh-CN"/>
                        </w:rPr>
                        <w:t>上级负责成立现场指挥部，及时提升（降低）预警和响应等级</w:t>
                      </w:r>
                    </w:p>
                  </w:txbxContent>
                </v:textbox>
              </v:shape>
            </w:pict>
          </mc:Fallback>
        </mc:AlternateContent>
      </w:r>
      <w:r>
        <w:rPr>
          <w:sz w:val="32"/>
        </w:rPr>
        <mc:AlternateContent>
          <mc:Choice Requires="wps">
            <w:drawing>
              <wp:anchor distT="0" distB="0" distL="114300" distR="114300" simplePos="0" relativeHeight="251691008" behindDoc="0" locked="0" layoutInCell="1" allowOverlap="1">
                <wp:simplePos x="0" y="0"/>
                <wp:positionH relativeFrom="column">
                  <wp:posOffset>4445635</wp:posOffset>
                </wp:positionH>
                <wp:positionV relativeFrom="paragraph">
                  <wp:posOffset>106045</wp:posOffset>
                </wp:positionV>
                <wp:extent cx="0" cy="130810"/>
                <wp:effectExtent l="50800" t="0" r="63500" b="2540"/>
                <wp:wrapNone/>
                <wp:docPr id="40" name="直接箭头连接符 40"/>
                <wp:cNvGraphicFramePr/>
                <a:graphic xmlns:a="http://schemas.openxmlformats.org/drawingml/2006/main">
                  <a:graphicData uri="http://schemas.microsoft.com/office/word/2010/wordprocessingShape">
                    <wps:wsp>
                      <wps:cNvCnPr/>
                      <wps:spPr>
                        <a:xfrm>
                          <a:off x="4988560" y="7626985"/>
                          <a:ext cx="0" cy="13081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350.05pt;margin-top:8.35pt;height:10.3pt;width:0pt;z-index:251691008;mso-width-relative:page;mso-height-relative:page;" filled="f" stroked="t" coordsize="21600,21600" o:gfxdata="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C/O9zPUAAAACQEAAA8A&#10;AAAAAAAAAQAgAAAAIgAAAGRycy9kb3ducmV2LnhtbFBLAQIUABQAAAAIAIdO4kC9gEw7GwIAAP4D&#10;AAAOAAAAAAAAAAEAIAAAACMBAABkcnMvZTJvRG9jLnhtbFBLBQYAAAAABgAGAFkBAACwBQAAAAA=&#10;">
                <v:fill on="f" focussize="0,0"/>
                <v:stroke weight="1pt" color="#000000 [3200]"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1688960" behindDoc="0" locked="0" layoutInCell="1" allowOverlap="1">
                <wp:simplePos x="0" y="0"/>
                <wp:positionH relativeFrom="column">
                  <wp:posOffset>1078865</wp:posOffset>
                </wp:positionH>
                <wp:positionV relativeFrom="paragraph">
                  <wp:posOffset>94615</wp:posOffset>
                </wp:positionV>
                <wp:extent cx="1270" cy="185420"/>
                <wp:effectExtent l="50165" t="0" r="62865" b="5080"/>
                <wp:wrapNone/>
                <wp:docPr id="38" name="直接箭头连接符 38"/>
                <wp:cNvGraphicFramePr/>
                <a:graphic xmlns:a="http://schemas.openxmlformats.org/drawingml/2006/main">
                  <a:graphicData uri="http://schemas.microsoft.com/office/word/2010/wordprocessingShape">
                    <wps:wsp>
                      <wps:cNvCnPr/>
                      <wps:spPr>
                        <a:xfrm flipH="1">
                          <a:off x="2250440" y="7591425"/>
                          <a:ext cx="1270" cy="18542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84.95pt;margin-top:7.45pt;height:14.6pt;width:0.1pt;z-index:251688960;mso-width-relative:page;mso-height-relative:page;" filled="f" stroked="t" coordsize="21600,21600" o:gfxdata="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HdSdVfaAAAACQEAAA8AAAAAAAAAAQAgAAAAIgAAAGRycy9kb3ducmV2LnhtbFBLAQIUABQAAAAI&#10;AIdO4kAOBhD+JAIAAAsEAAAOAAAAAAAAAAEAIAAAACkBAABkcnMvZTJvRG9jLnhtbFBLBQYAAAAA&#10;BgAGAFkBAAC/BQAAAAA=&#10;">
                <v:fill on="f" focussize="0,0"/>
                <v:stroke weight="1pt" color="#000000 [3200]" miterlimit="8" joinstyle="miter" endarrow="open"/>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default" w:ascii="仿宋" w:hAnsi="仿宋" w:eastAsia="仿宋" w:cs="仿宋"/>
          <w:b/>
          <w:bCs/>
          <w:sz w:val="32"/>
          <w:szCs w:val="32"/>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仿宋" w:hAnsi="仿宋" w:eastAsia="仿宋" w:cs="仿宋"/>
          <w:b/>
          <w:bCs/>
          <w:sz w:val="32"/>
          <w:szCs w:val="32"/>
          <w:vertAlign w:val="baseline"/>
          <w:lang w:val="en-US" w:eastAsia="zh-CN"/>
        </w:rPr>
      </w:pPr>
      <w:r>
        <w:rPr>
          <w:sz w:val="32"/>
        </w:rPr>
        <mc:AlternateContent>
          <mc:Choice Requires="wps">
            <w:drawing>
              <wp:anchor distT="0" distB="0" distL="114300" distR="114300" simplePos="0" relativeHeight="251698176" behindDoc="0" locked="0" layoutInCell="1" allowOverlap="1">
                <wp:simplePos x="0" y="0"/>
                <wp:positionH relativeFrom="column">
                  <wp:posOffset>1666875</wp:posOffset>
                </wp:positionH>
                <wp:positionV relativeFrom="paragraph">
                  <wp:posOffset>368300</wp:posOffset>
                </wp:positionV>
                <wp:extent cx="841375" cy="250190"/>
                <wp:effectExtent l="1905" t="6350" r="13970" b="29210"/>
                <wp:wrapNone/>
                <wp:docPr id="48" name="直接箭头连接符 48"/>
                <wp:cNvGraphicFramePr/>
                <a:graphic xmlns:a="http://schemas.openxmlformats.org/drawingml/2006/main">
                  <a:graphicData uri="http://schemas.microsoft.com/office/word/2010/wordprocessingShape">
                    <wps:wsp>
                      <wps:cNvCnPr/>
                      <wps:spPr>
                        <a:xfrm>
                          <a:off x="2952750" y="8830310"/>
                          <a:ext cx="841375" cy="25019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31.25pt;margin-top:29pt;height:19.7pt;width:66.25pt;z-index:251698176;mso-width-relative:page;mso-height-relative:page;" filled="f" stroked="t" coordsize="21600,21600" o:gfxdata="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3Cvh6&#10;1wAAAAkBAAAPAAAAAAAAAAEAIAAAACIAAABkcnMvZG93bnJldi54bWxQSwECFAAUAAAACACHTuJA&#10;NTNJCiICAAADBAAADgAAAAAAAAABACAAAAAmAQAAZHJzL2Uyb0RvYy54bWxQSwUGAAAAAAYABgBZ&#10;AQAAugUAAAAA&#10;">
                <v:fill on="f" focussize="0,0"/>
                <v:stroke weight="1pt" color="#000000 [3200]"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1703296" behindDoc="0" locked="0" layoutInCell="1" allowOverlap="1">
                <wp:simplePos x="0" y="0"/>
                <wp:positionH relativeFrom="column">
                  <wp:posOffset>1536065</wp:posOffset>
                </wp:positionH>
                <wp:positionV relativeFrom="paragraph">
                  <wp:posOffset>380365</wp:posOffset>
                </wp:positionV>
                <wp:extent cx="1270" cy="185420"/>
                <wp:effectExtent l="50165" t="0" r="62865" b="5080"/>
                <wp:wrapNone/>
                <wp:docPr id="2" name="直接箭头连接符 2"/>
                <wp:cNvGraphicFramePr/>
                <a:graphic xmlns:a="http://schemas.openxmlformats.org/drawingml/2006/main">
                  <a:graphicData uri="http://schemas.microsoft.com/office/word/2010/wordprocessingShape">
                    <wps:wsp>
                      <wps:cNvCnPr/>
                      <wps:spPr>
                        <a:xfrm flipH="1">
                          <a:off x="0" y="0"/>
                          <a:ext cx="1270" cy="18542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120.95pt;margin-top:29.95pt;height:14.6pt;width:0.1pt;z-index:251703296;mso-width-relative:page;mso-height-relative:page;" filled="f" stroked="t" coordsize="21600,21600" o:gfxdata="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OKHpgXbAAAACQEAAA8A&#10;AAAAAAAAAQAgAAAAIgAAAGRycy9kb3ducmV2LnhtbFBLAQIUABQAAAAIAIdO4kCiu2VvFAIAAP0D&#10;AAAOAAAAAAAAAAEAIAAAACoBAABkcnMvZTJvRG9jLnhtbFBLBQYAAAAABgAGAFkBAACwBQAAAAA=&#10;">
                <v:fill on="f" focussize="0,0"/>
                <v:stroke weight="1pt" color="#000000 [3200]"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1697152" behindDoc="0" locked="0" layoutInCell="1" allowOverlap="1">
                <wp:simplePos x="0" y="0"/>
                <wp:positionH relativeFrom="column">
                  <wp:posOffset>745490</wp:posOffset>
                </wp:positionH>
                <wp:positionV relativeFrom="paragraph">
                  <wp:posOffset>380365</wp:posOffset>
                </wp:positionV>
                <wp:extent cx="523875" cy="167005"/>
                <wp:effectExtent l="0" t="6350" r="9525" b="169545"/>
                <wp:wrapNone/>
                <wp:docPr id="47" name="直接箭头连接符 47"/>
                <wp:cNvGraphicFramePr/>
                <a:graphic xmlns:a="http://schemas.openxmlformats.org/drawingml/2006/main">
                  <a:graphicData uri="http://schemas.microsoft.com/office/word/2010/wordprocessingShape">
                    <wps:wsp>
                      <wps:cNvCnPr/>
                      <wps:spPr>
                        <a:xfrm flipH="1">
                          <a:off x="1821815" y="8853805"/>
                          <a:ext cx="523875" cy="167005"/>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flip:x;margin-left:58.7pt;margin-top:29.95pt;height:13.15pt;width:41.25pt;z-index:251697152;mso-width-relative:page;mso-height-relative:page;" filled="f" stroked="t" coordsize="21600,21600" o:gfxdata="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">
                <v:fill on="f" focussize="0,0"/>
                <v:stroke weight="1pt" color="#000000"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1696128" behindDoc="0" locked="0" layoutInCell="1" allowOverlap="1">
                <wp:simplePos x="0" y="0"/>
                <wp:positionH relativeFrom="column">
                  <wp:posOffset>2347595</wp:posOffset>
                </wp:positionH>
                <wp:positionV relativeFrom="paragraph">
                  <wp:posOffset>208280</wp:posOffset>
                </wp:positionV>
                <wp:extent cx="3131820" cy="274320"/>
                <wp:effectExtent l="4445" t="5080" r="6985" b="6350"/>
                <wp:wrapNone/>
                <wp:docPr id="45" name="文本框 45"/>
                <wp:cNvGraphicFramePr/>
                <a:graphic xmlns:a="http://schemas.openxmlformats.org/drawingml/2006/main">
                  <a:graphicData uri="http://schemas.microsoft.com/office/word/2010/wordprocessingShape">
                    <wps:wsp>
                      <wps:cNvSpPr txBox="1"/>
                      <wps:spPr>
                        <a:xfrm>
                          <a:off x="3500120" y="8508365"/>
                          <a:ext cx="3131820" cy="27432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eastAsia="zh-CN"/>
                              </w:rPr>
                              <w:t>配合上级积极开展应急处置工作，及时响应解除</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4.85pt;margin-top:16.4pt;height:21.6pt;width:246.6pt;z-index:251696128;mso-width-relative:page;mso-height-relative:page;" fillcolor="#FFFFFF [3201]" filled="t" stroked="t" coordsize="21600,21600" o:gfxdata="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nGJ3NYAAAAJAQAADwAAAAAAAAABACAAAAAiAAAAZHJzL2Rvd25yZXYueG1sUEsBAhQAFAAA&#10;AAgAh07iQE1+ZRhjAgAAxQQAAA4AAAAAAAAAAQAgAAAAJQEAAGRycy9lMm9Eb2MueG1sUEsFBgAA&#10;AAAGAAYAWQEAAPoFAAAAAA==&#10;">
                <v:fill on="t" focussize="0,0"/>
                <v:stroke weight="0.5pt" color="#000000 [3204]" joinstyle="round"/>
                <v:imagedata o:title=""/>
                <o:lock v:ext="edit" aspectratio="f"/>
                <v:textbox>
                  <w:txbxContent>
                    <w:p>
                      <w:pPr>
                        <w:rPr>
                          <w:rFonts w:hint="eastAsia" w:eastAsiaTheme="minorEastAsia"/>
                          <w:lang w:eastAsia="zh-CN"/>
                        </w:rPr>
                      </w:pPr>
                      <w:r>
                        <w:rPr>
                          <w:rFonts w:hint="eastAsia"/>
                          <w:lang w:eastAsia="zh-CN"/>
                        </w:rPr>
                        <w:t>配合上级积极开展应急处置工作，及时响应解除</w:t>
                      </w:r>
                    </w:p>
                  </w:txbxContent>
                </v:textbox>
              </v:shape>
            </w:pict>
          </mc:Fallback>
        </mc:AlternateContent>
      </w:r>
      <w:r>
        <w:rPr>
          <w:sz w:val="32"/>
        </w:rPr>
        <mc:AlternateContent>
          <mc:Choice Requires="wps">
            <w:drawing>
              <wp:anchor distT="0" distB="0" distL="114300" distR="114300" simplePos="0" relativeHeight="251694080" behindDoc="0" locked="0" layoutInCell="1" allowOverlap="1">
                <wp:simplePos x="0" y="0"/>
                <wp:positionH relativeFrom="column">
                  <wp:posOffset>1078230</wp:posOffset>
                </wp:positionH>
                <wp:positionV relativeFrom="paragraph">
                  <wp:posOffset>59690</wp:posOffset>
                </wp:positionV>
                <wp:extent cx="881380" cy="288290"/>
                <wp:effectExtent l="4445" t="4445" r="9525" b="12065"/>
                <wp:wrapNone/>
                <wp:docPr id="43" name="文本框 43"/>
                <wp:cNvGraphicFramePr/>
                <a:graphic xmlns:a="http://schemas.openxmlformats.org/drawingml/2006/main">
                  <a:graphicData uri="http://schemas.microsoft.com/office/word/2010/wordprocessingShape">
                    <wps:wsp>
                      <wps:cNvSpPr txBox="1"/>
                      <wps:spPr>
                        <a:xfrm>
                          <a:off x="2226310" y="8357235"/>
                          <a:ext cx="881380" cy="28829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Theme="minorEastAsia"/>
                                <w:lang w:eastAsia="zh-CN"/>
                              </w:rPr>
                            </w:pPr>
                            <w:r>
                              <w:rPr>
                                <w:rFonts w:hint="eastAsia"/>
                                <w:lang w:eastAsia="zh-CN"/>
                              </w:rPr>
                              <w:t>后期处置</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4.9pt;margin-top:4.7pt;height:22.7pt;width:69.4pt;z-index:251694080;mso-width-relative:page;mso-height-relative:page;" fillcolor="#FFFFFF [3201]" filled="t" stroked="t" coordsize="21600,21600" o:gfxdata="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AzvQJZ1QAAAAgBAAAPAAAAAAAAAAEAIAAAACIAAABkcnMvZG93bnJldi54bWxQSwECFAAU&#10;AAAACACHTuJAwOyOa2YCAADEBAAADgAAAAAAAAABACAAAAAkAQAAZHJzL2Uyb0RvYy54bWxQSwUG&#10;AAAAAAYABgBZAQAA/AUAAAAA&#10;">
                <v:fill on="t" focussize="0,0"/>
                <v:stroke weight="0.5pt" color="#000000 [3204]" joinstyle="round"/>
                <v:imagedata o:title=""/>
                <o:lock v:ext="edit" aspectratio="f"/>
                <v:textbox>
                  <w:txbxContent>
                    <w:p>
                      <w:pPr>
                        <w:jc w:val="center"/>
                        <w:rPr>
                          <w:rFonts w:hint="eastAsia" w:eastAsiaTheme="minorEastAsia"/>
                          <w:lang w:eastAsia="zh-CN"/>
                        </w:rPr>
                      </w:pPr>
                      <w:r>
                        <w:rPr>
                          <w:rFonts w:hint="eastAsia"/>
                          <w:lang w:eastAsia="zh-CN"/>
                        </w:rPr>
                        <w:t>后期处置</w:t>
                      </w:r>
                    </w:p>
                  </w:txbxContent>
                </v:textbox>
              </v:shape>
            </w:pict>
          </mc:Fallback>
        </mc:AlternateContent>
      </w:r>
      <w:r>
        <w:rPr>
          <w:sz w:val="32"/>
        </w:rPr>
        <mc:AlternateContent>
          <mc:Choice Requires="wps">
            <w:drawing>
              <wp:anchor distT="0" distB="0" distL="114300" distR="114300" simplePos="0" relativeHeight="251693056" behindDoc="0" locked="0" layoutInCell="1" allowOverlap="1">
                <wp:simplePos x="0" y="0"/>
                <wp:positionH relativeFrom="column">
                  <wp:posOffset>783590</wp:posOffset>
                </wp:positionH>
                <wp:positionV relativeFrom="paragraph">
                  <wp:posOffset>12065</wp:posOffset>
                </wp:positionV>
                <wp:extent cx="249555" cy="178435"/>
                <wp:effectExtent l="3810" t="5080" r="13335" b="6985"/>
                <wp:wrapNone/>
                <wp:docPr id="42" name="直接箭头连接符 42"/>
                <wp:cNvGraphicFramePr/>
                <a:graphic xmlns:a="http://schemas.openxmlformats.org/drawingml/2006/main">
                  <a:graphicData uri="http://schemas.microsoft.com/office/word/2010/wordprocessingShape">
                    <wps:wsp>
                      <wps:cNvCnPr/>
                      <wps:spPr>
                        <a:xfrm>
                          <a:off x="1964690" y="8287385"/>
                          <a:ext cx="249555" cy="17843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61.7pt;margin-top:0.95pt;height:14.05pt;width:19.65pt;z-index:251693056;mso-width-relative:page;mso-height-relative:page;" filled="f" stroked="t" coordsize="21600,21600" o:gfxdata="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nzzhf1QAA&#10;AAgBAAAPAAAAAAAAAAEAIAAAACIAAABkcnMvZG93bnJldi54bWxQSwECFAAUAAAACACHTuJAdyG9&#10;ESECAAADBAAADgAAAAAAAAABACAAAAAkAQAAZHJzL2Uyb0RvYy54bWxQSwUGAAAAAAYABgBZAQAA&#10;twUAAAAA&#10;">
                <v:fill on="f" focussize="0,0"/>
                <v:stroke weight="1pt" color="#000000 [3200]"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1695104" behindDoc="0" locked="0" layoutInCell="1" allowOverlap="1">
                <wp:simplePos x="0" y="0"/>
                <wp:positionH relativeFrom="column">
                  <wp:posOffset>3890010</wp:posOffset>
                </wp:positionH>
                <wp:positionV relativeFrom="paragraph">
                  <wp:posOffset>-36195</wp:posOffset>
                </wp:positionV>
                <wp:extent cx="8255" cy="191770"/>
                <wp:effectExtent l="46990" t="0" r="59055" b="17780"/>
                <wp:wrapNone/>
                <wp:docPr id="44" name="直接箭头连接符 44"/>
                <wp:cNvGraphicFramePr/>
                <a:graphic xmlns:a="http://schemas.openxmlformats.org/drawingml/2006/main">
                  <a:graphicData uri="http://schemas.microsoft.com/office/word/2010/wordprocessingShape">
                    <wps:wsp>
                      <wps:cNvCnPr>
                        <a:stCxn id="41" idx="2"/>
                      </wps:cNvCnPr>
                      <wps:spPr>
                        <a:xfrm flipH="1">
                          <a:off x="5095875" y="8328660"/>
                          <a:ext cx="8255" cy="19177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306.3pt;margin-top:-2.85pt;height:15.1pt;width:0.65pt;z-index:251695104;mso-width-relative:page;mso-height-relative:page;" filled="f" stroked="t" coordsize="21600,21600" o:gfxdata="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reYa0tsAAAAJAQAADwAAAAAAAAABACAAAAAiAAAAZHJzL2Rv&#10;d25yZXYueG1sUEsBAhQAFAAAAAgAh07iQDl5vAM3AgAAMgQAAA4AAAAAAAAAAQAgAAAAKgEAAGRy&#10;cy9lMm9Eb2MueG1sUEsFBgAAAAAGAAYAWQEAANMFAAAAAA==&#10;">
                <v:fill on="f" focussize="0,0"/>
                <v:stroke weight="1pt" color="#000000 [3200]" miterlimit="8" joinstyle="miter" endarrow="open"/>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仿宋" w:hAnsi="仿宋" w:eastAsia="仿宋" w:cs="仿宋"/>
          <w:b/>
          <w:bCs/>
          <w:sz w:val="32"/>
          <w:szCs w:val="32"/>
          <w:vertAlign w:val="baseline"/>
          <w:lang w:val="en-US" w:eastAsia="zh-CN"/>
        </w:rPr>
      </w:pPr>
      <w:r>
        <w:rPr>
          <w:sz w:val="32"/>
        </w:rPr>
        <mc:AlternateContent>
          <mc:Choice Requires="wps">
            <w:drawing>
              <wp:anchor distT="0" distB="0" distL="114300" distR="114300" simplePos="0" relativeHeight="251701248" behindDoc="0" locked="0" layoutInCell="1" allowOverlap="1">
                <wp:simplePos x="0" y="0"/>
                <wp:positionH relativeFrom="column">
                  <wp:posOffset>2531110</wp:posOffset>
                </wp:positionH>
                <wp:positionV relativeFrom="paragraph">
                  <wp:posOffset>195580</wp:posOffset>
                </wp:positionV>
                <wp:extent cx="749935" cy="308610"/>
                <wp:effectExtent l="4445" t="4445" r="7620" b="10795"/>
                <wp:wrapNone/>
                <wp:docPr id="51" name="文本框 51"/>
                <wp:cNvGraphicFramePr/>
                <a:graphic xmlns:a="http://schemas.openxmlformats.org/drawingml/2006/main">
                  <a:graphicData uri="http://schemas.microsoft.com/office/word/2010/wordprocessingShape">
                    <wps:wsp>
                      <wps:cNvSpPr txBox="1"/>
                      <wps:spPr>
                        <a:xfrm>
                          <a:off x="3178810" y="9078595"/>
                          <a:ext cx="749935" cy="30861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eastAsia="zh-CN"/>
                              </w:rPr>
                              <w:t>评估总结</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9.3pt;margin-top:15.4pt;height:24.3pt;width:59.05pt;z-index:251701248;mso-width-relative:page;mso-height-relative:page;" fillcolor="#FFFFFF [3201]" filled="t" stroked="t" coordsize="21600,21600" o:gfxdata="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YycNidcAAAAJAQAADwAAAAAAAAABACAAAAAiAAAAZHJzL2Rvd25yZXYueG1sUEsBAhQA&#10;FAAAAAgAh07iQPW30kJlAgAAxAQAAA4AAAAAAAAAAQAgAAAAJgEAAGRycy9lMm9Eb2MueG1sUEsF&#10;BgAAAAAGAAYAWQEAAP0FAAAAAA==&#10;">
                <v:fill on="t" focussize="0,0"/>
                <v:stroke weight="0.5pt" color="#000000 [3204]" joinstyle="round"/>
                <v:imagedata o:title=""/>
                <o:lock v:ext="edit" aspectratio="f"/>
                <v:textbox>
                  <w:txbxContent>
                    <w:p>
                      <w:pPr>
                        <w:rPr>
                          <w:rFonts w:hint="eastAsia" w:eastAsiaTheme="minorEastAsia"/>
                          <w:lang w:eastAsia="zh-CN"/>
                        </w:rPr>
                      </w:pPr>
                      <w:r>
                        <w:rPr>
                          <w:rFonts w:hint="eastAsia"/>
                          <w:lang w:eastAsia="zh-CN"/>
                        </w:rPr>
                        <w:t>评估总结</w:t>
                      </w:r>
                    </w:p>
                  </w:txbxContent>
                </v:textbox>
              </v:shape>
            </w:pict>
          </mc:Fallback>
        </mc:AlternateContent>
      </w:r>
      <w:r>
        <w:rPr>
          <w:sz w:val="32"/>
        </w:rPr>
        <mc:AlternateContent>
          <mc:Choice Requires="wps">
            <w:drawing>
              <wp:anchor distT="0" distB="0" distL="114300" distR="114300" simplePos="0" relativeHeight="251700224" behindDoc="0" locked="0" layoutInCell="1" allowOverlap="1">
                <wp:simplePos x="0" y="0"/>
                <wp:positionH relativeFrom="column">
                  <wp:posOffset>1047750</wp:posOffset>
                </wp:positionH>
                <wp:positionV relativeFrom="paragraph">
                  <wp:posOffset>194945</wp:posOffset>
                </wp:positionV>
                <wp:extent cx="902335" cy="309880"/>
                <wp:effectExtent l="4445" t="4445" r="7620" b="9525"/>
                <wp:wrapNone/>
                <wp:docPr id="50" name="文本框 50"/>
                <wp:cNvGraphicFramePr/>
                <a:graphic xmlns:a="http://schemas.openxmlformats.org/drawingml/2006/main">
                  <a:graphicData uri="http://schemas.microsoft.com/office/word/2010/wordprocessingShape">
                    <wps:wsp>
                      <wps:cNvSpPr txBox="1"/>
                      <wps:spPr>
                        <a:xfrm>
                          <a:off x="3131185" y="9459595"/>
                          <a:ext cx="902335" cy="30988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eastAsia="zh-CN"/>
                              </w:rPr>
                              <w:t>责任与奖惩</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2.5pt;margin-top:15.35pt;height:24.4pt;width:71.05pt;z-index:251700224;mso-width-relative:page;mso-height-relative:page;" fillcolor="#FFFFFF [3201]" filled="t" stroked="t" coordsize="21600,21600" o:gfxdata="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OR0y71gAAAAkBAAAPAAAAAAAAAAEAIAAAACIAAABkcnMvZG93bnJldi54bWxQSwECFAAU&#10;AAAACACHTuJANYfTUmUCAADEBAAADgAAAAAAAAABACAAAAAlAQAAZHJzL2Uyb0RvYy54bWxQSwUG&#10;AAAAAAYABgBZAQAA/AUAAAAA&#10;">
                <v:fill on="t" focussize="0,0"/>
                <v:stroke weight="0.5pt" color="#000000 [3204]" joinstyle="round"/>
                <v:imagedata o:title=""/>
                <o:lock v:ext="edit" aspectratio="f"/>
                <v:textbox>
                  <w:txbxContent>
                    <w:p>
                      <w:pPr>
                        <w:rPr>
                          <w:rFonts w:hint="eastAsia" w:eastAsiaTheme="minorEastAsia"/>
                          <w:lang w:eastAsia="zh-CN"/>
                        </w:rPr>
                      </w:pPr>
                      <w:r>
                        <w:rPr>
                          <w:rFonts w:hint="eastAsia"/>
                          <w:lang w:eastAsia="zh-CN"/>
                        </w:rPr>
                        <w:t>责任与奖惩</w:t>
                      </w:r>
                    </w:p>
                  </w:txbxContent>
                </v:textbox>
              </v:shape>
            </w:pict>
          </mc:Fallback>
        </mc:AlternateContent>
      </w:r>
      <w:r>
        <w:rPr>
          <w:sz w:val="32"/>
        </w:rPr>
        <mc:AlternateContent>
          <mc:Choice Requires="wps">
            <w:drawing>
              <wp:anchor distT="0" distB="0" distL="114300" distR="114300" simplePos="0" relativeHeight="251699200" behindDoc="0" locked="0" layoutInCell="1" allowOverlap="1">
                <wp:simplePos x="0" y="0"/>
                <wp:positionH relativeFrom="column">
                  <wp:posOffset>228600</wp:posOffset>
                </wp:positionH>
                <wp:positionV relativeFrom="paragraph">
                  <wp:posOffset>200025</wp:posOffset>
                </wp:positionV>
                <wp:extent cx="737870" cy="290830"/>
                <wp:effectExtent l="4445" t="4445" r="19685" b="9525"/>
                <wp:wrapNone/>
                <wp:docPr id="49" name="文本框 49"/>
                <wp:cNvGraphicFramePr/>
                <a:graphic xmlns:a="http://schemas.openxmlformats.org/drawingml/2006/main">
                  <a:graphicData uri="http://schemas.microsoft.com/office/word/2010/wordprocessingShape">
                    <wps:wsp>
                      <wps:cNvSpPr txBox="1"/>
                      <wps:spPr>
                        <a:xfrm>
                          <a:off x="1238250" y="9054465"/>
                          <a:ext cx="737870" cy="29083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eastAsia="zh-CN"/>
                              </w:rPr>
                              <w:t>善后处理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pt;margin-top:15.75pt;height:22.9pt;width:58.1pt;z-index:251699200;mso-width-relative:page;mso-height-relative:page;" fillcolor="#FFFFFF [3201]" filled="t" stroked="t" coordsize="21600,21600" o:gfxdata="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TuvAJ1gAAAAgBAAAPAAAAAAAAAAEAIAAAACIAAABkcnMvZG93bnJldi54bWxQSwECFAAU&#10;AAAACACHTuJA8Wn+HWUCAADEBAAADgAAAAAAAAABACAAAAAlAQAAZHJzL2Uyb0RvYy54bWxQSwUG&#10;AAAAAAYABgBZAQAA/AUAAAAA&#10;">
                <v:fill on="t" focussize="0,0"/>
                <v:stroke weight="0.5pt" color="#000000 [3204]" joinstyle="round"/>
                <v:imagedata o:title=""/>
                <o:lock v:ext="edit" aspectratio="f"/>
                <v:textbox>
                  <w:txbxContent>
                    <w:p>
                      <w:pPr>
                        <w:rPr>
                          <w:rFonts w:hint="eastAsia" w:eastAsiaTheme="minorEastAsia"/>
                          <w:lang w:eastAsia="zh-CN"/>
                        </w:rPr>
                      </w:pPr>
                      <w:r>
                        <w:rPr>
                          <w:rFonts w:hint="eastAsia"/>
                          <w:lang w:eastAsia="zh-CN"/>
                        </w:rPr>
                        <w:t>善后处理</w:t>
                      </w:r>
                    </w:p>
                  </w:txbxContent>
                </v:textbox>
              </v:shape>
            </w:pict>
          </mc:Fallback>
        </mc:AlternateContent>
      </w:r>
      <w:r>
        <w:rPr>
          <w:sz w:val="32"/>
        </w:rPr>
        <mc:AlternateContent>
          <mc:Choice Requires="wps">
            <w:drawing>
              <wp:anchor distT="0" distB="0" distL="114300" distR="114300" simplePos="0" relativeHeight="251702272" behindDoc="0" locked="0" layoutInCell="1" allowOverlap="1">
                <wp:simplePos x="0" y="0"/>
                <wp:positionH relativeFrom="column">
                  <wp:posOffset>1959610</wp:posOffset>
                </wp:positionH>
                <wp:positionV relativeFrom="paragraph">
                  <wp:posOffset>-177165</wp:posOffset>
                </wp:positionV>
                <wp:extent cx="387985" cy="141605"/>
                <wp:effectExtent l="0" t="17780" r="12065" b="12065"/>
                <wp:wrapNone/>
                <wp:docPr id="1" name="直接箭头连接符 1"/>
                <wp:cNvGraphicFramePr/>
                <a:graphic xmlns:a="http://schemas.openxmlformats.org/drawingml/2006/main">
                  <a:graphicData uri="http://schemas.microsoft.com/office/word/2010/wordprocessingShape">
                    <wps:wsp>
                      <wps:cNvCnPr>
                        <a:stCxn id="45" idx="1"/>
                        <a:endCxn id="43" idx="3"/>
                      </wps:cNvCnPr>
                      <wps:spPr>
                        <a:xfrm flipH="1" flipV="1">
                          <a:off x="0" y="0"/>
                          <a:ext cx="387985" cy="14160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 y;margin-left:154.3pt;margin-top:-13.95pt;height:11.15pt;width:30.55pt;z-index:251702272;mso-width-relative:page;mso-height-relative:page;" filled="f" stroked="t" coordsize="21600,21600" o:gfxdata="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nGLUS9sAAAAKAQAADwAAAAAAAAABACAAAAAiAAAAZHJzL2Rv&#10;d25yZXYueG1sUEsBAhQAFAAAAAgAh07iQBhAK8Q3AgAASwQAAA4AAAAAAAAAAQAgAAAAKgEAAGRy&#10;cy9lMm9Eb2MueG1sUEsFBgAAAAAGAAYAWQEAANMFAAAAAA==&#10;">
                <v:fill on="f" focussize="0,0"/>
                <v:stroke weight="1pt" color="#000000 [3200]" miterlimit="8" joinstyle="miter" endarrow="open"/>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附件4</w:t>
      </w:r>
    </w:p>
    <w:p>
      <w:pPr>
        <w:keepNext w:val="0"/>
        <w:keepLines w:val="0"/>
        <w:pageBreakBefore w:val="0"/>
        <w:widowControl w:val="0"/>
        <w:kinsoku/>
        <w:wordWrap/>
        <w:overflowPunct/>
        <w:topLinePunct w:val="0"/>
        <w:autoSpaceDE/>
        <w:autoSpaceDN/>
        <w:bidi w:val="0"/>
        <w:adjustRightInd/>
        <w:snapToGrid/>
        <w:spacing w:line="576" w:lineRule="exact"/>
        <w:ind w:firstLine="1320" w:firstLineChars="300"/>
        <w:jc w:val="both"/>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聊城经济技术开发区食品安全</w:t>
      </w:r>
    </w:p>
    <w:p>
      <w:pPr>
        <w:keepNext w:val="0"/>
        <w:keepLines w:val="0"/>
        <w:pageBreakBefore w:val="0"/>
        <w:widowControl w:val="0"/>
        <w:kinsoku/>
        <w:wordWrap/>
        <w:overflowPunct/>
        <w:topLinePunct w:val="0"/>
        <w:autoSpaceDE/>
        <w:autoSpaceDN/>
        <w:bidi w:val="0"/>
        <w:adjustRightInd/>
        <w:snapToGrid/>
        <w:spacing w:line="576" w:lineRule="exact"/>
        <w:ind w:firstLine="2200" w:firstLineChars="500"/>
        <w:jc w:val="both"/>
        <w:textAlignment w:val="auto"/>
        <w:rPr>
          <w:rFonts w:hint="eastAsia" w:ascii="仿宋" w:hAnsi="仿宋" w:eastAsia="仿宋" w:cs="仿宋"/>
          <w:b/>
          <w:bCs/>
          <w:sz w:val="32"/>
          <w:szCs w:val="32"/>
          <w:lang w:val="en-US" w:eastAsia="zh-CN"/>
        </w:rPr>
      </w:pPr>
      <w:r>
        <w:rPr>
          <w:rFonts w:hint="eastAsia" w:ascii="方正小标宋简体" w:hAnsi="方正小标宋简体" w:eastAsia="方正小标宋简体" w:cs="方正小标宋简体"/>
          <w:b w:val="0"/>
          <w:bCs w:val="0"/>
          <w:sz w:val="44"/>
          <w:szCs w:val="44"/>
          <w:lang w:val="en-US" w:eastAsia="zh-CN"/>
        </w:rPr>
        <w:t>事故报告表（初报）</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142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事件名称</w:t>
            </w:r>
          </w:p>
        </w:tc>
        <w:tc>
          <w:tcPr>
            <w:tcW w:w="7102" w:type="dxa"/>
            <w:gridSpan w:val="5"/>
            <w:vAlign w:val="center"/>
          </w:tcPr>
          <w:p>
            <w:pPr>
              <w:keepNext w:val="0"/>
              <w:keepLines w:val="0"/>
              <w:pageBreakBefore w:val="0"/>
              <w:widowControl w:val="0"/>
              <w:kinsoku/>
              <w:wordWrap/>
              <w:overflowPunct/>
              <w:topLinePunct w:val="0"/>
              <w:autoSpaceDE/>
              <w:autoSpaceDN/>
              <w:bidi w:val="0"/>
              <w:adjustRightInd/>
              <w:snapToGrid/>
              <w:ind w:firstLine="480" w:firstLineChars="200"/>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142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事发时间</w:t>
            </w:r>
          </w:p>
        </w:tc>
        <w:tc>
          <w:tcPr>
            <w:tcW w:w="1420" w:type="dxa"/>
            <w:vAlign w:val="center"/>
          </w:tcPr>
          <w:p>
            <w:pPr>
              <w:keepNext w:val="0"/>
              <w:keepLines w:val="0"/>
              <w:pageBreakBefore w:val="0"/>
              <w:widowControl w:val="0"/>
              <w:kinsoku/>
              <w:wordWrap/>
              <w:overflowPunct/>
              <w:topLinePunct w:val="0"/>
              <w:autoSpaceDE/>
              <w:autoSpaceDN/>
              <w:bidi w:val="0"/>
              <w:adjustRightInd/>
              <w:snapToGrid/>
              <w:ind w:firstLine="480" w:firstLineChars="200"/>
              <w:jc w:val="center"/>
              <w:textAlignment w:val="auto"/>
              <w:rPr>
                <w:rFonts w:hint="eastAsia" w:ascii="仿宋_GB2312" w:hAnsi="仿宋_GB2312" w:eastAsia="仿宋_GB2312" w:cs="仿宋_GB2312"/>
                <w:sz w:val="24"/>
                <w:szCs w:val="24"/>
                <w:vertAlign w:val="baseline"/>
                <w:lang w:val="en-US" w:eastAsia="zh-CN"/>
              </w:rPr>
            </w:pPr>
          </w:p>
        </w:tc>
        <w:tc>
          <w:tcPr>
            <w:tcW w:w="142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事发地点</w:t>
            </w:r>
          </w:p>
        </w:tc>
        <w:tc>
          <w:tcPr>
            <w:tcW w:w="1420" w:type="dxa"/>
            <w:vAlign w:val="center"/>
          </w:tcPr>
          <w:p>
            <w:pPr>
              <w:keepNext w:val="0"/>
              <w:keepLines w:val="0"/>
              <w:pageBreakBefore w:val="0"/>
              <w:widowControl w:val="0"/>
              <w:kinsoku/>
              <w:wordWrap/>
              <w:overflowPunct/>
              <w:topLinePunct w:val="0"/>
              <w:autoSpaceDE/>
              <w:autoSpaceDN/>
              <w:bidi w:val="0"/>
              <w:adjustRightInd/>
              <w:snapToGrid/>
              <w:ind w:firstLine="480" w:firstLineChars="200"/>
              <w:jc w:val="center"/>
              <w:textAlignment w:val="auto"/>
              <w:rPr>
                <w:rFonts w:hint="eastAsia" w:ascii="仿宋_GB2312" w:hAnsi="仿宋_GB2312" w:eastAsia="仿宋_GB2312" w:cs="仿宋_GB2312"/>
                <w:sz w:val="24"/>
                <w:szCs w:val="24"/>
                <w:vertAlign w:val="baseline"/>
                <w:lang w:val="en-US" w:eastAsia="zh-CN"/>
              </w:rPr>
            </w:pPr>
          </w:p>
        </w:tc>
        <w:tc>
          <w:tcPr>
            <w:tcW w:w="142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事发单位</w:t>
            </w:r>
          </w:p>
        </w:tc>
        <w:tc>
          <w:tcPr>
            <w:tcW w:w="1421" w:type="dxa"/>
            <w:vAlign w:val="center"/>
          </w:tcPr>
          <w:p>
            <w:pPr>
              <w:keepNext w:val="0"/>
              <w:keepLines w:val="0"/>
              <w:pageBreakBefore w:val="0"/>
              <w:widowControl w:val="0"/>
              <w:kinsoku/>
              <w:wordWrap/>
              <w:overflowPunct/>
              <w:topLinePunct w:val="0"/>
              <w:autoSpaceDE/>
              <w:autoSpaceDN/>
              <w:bidi w:val="0"/>
              <w:adjustRightInd/>
              <w:snapToGrid/>
              <w:ind w:firstLine="480" w:firstLineChars="200"/>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42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进食人数</w:t>
            </w:r>
          </w:p>
        </w:tc>
        <w:tc>
          <w:tcPr>
            <w:tcW w:w="1420" w:type="dxa"/>
            <w:vAlign w:val="center"/>
          </w:tcPr>
          <w:p>
            <w:pPr>
              <w:keepNext w:val="0"/>
              <w:keepLines w:val="0"/>
              <w:pageBreakBefore w:val="0"/>
              <w:widowControl w:val="0"/>
              <w:kinsoku/>
              <w:wordWrap/>
              <w:overflowPunct/>
              <w:topLinePunct w:val="0"/>
              <w:autoSpaceDE/>
              <w:autoSpaceDN/>
              <w:bidi w:val="0"/>
              <w:adjustRightInd/>
              <w:snapToGrid/>
              <w:ind w:firstLine="480" w:firstLineChars="200"/>
              <w:jc w:val="center"/>
              <w:textAlignment w:val="auto"/>
              <w:rPr>
                <w:rFonts w:hint="eastAsia" w:ascii="仿宋_GB2312" w:hAnsi="仿宋_GB2312" w:eastAsia="仿宋_GB2312" w:cs="仿宋_GB2312"/>
                <w:sz w:val="24"/>
                <w:szCs w:val="24"/>
                <w:vertAlign w:val="baseline"/>
                <w:lang w:val="en-US" w:eastAsia="zh-CN"/>
              </w:rPr>
            </w:pPr>
          </w:p>
        </w:tc>
        <w:tc>
          <w:tcPr>
            <w:tcW w:w="142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就诊人数</w:t>
            </w:r>
          </w:p>
        </w:tc>
        <w:tc>
          <w:tcPr>
            <w:tcW w:w="1420" w:type="dxa"/>
            <w:vAlign w:val="center"/>
          </w:tcPr>
          <w:p>
            <w:pPr>
              <w:keepNext w:val="0"/>
              <w:keepLines w:val="0"/>
              <w:pageBreakBefore w:val="0"/>
              <w:widowControl w:val="0"/>
              <w:kinsoku/>
              <w:wordWrap/>
              <w:overflowPunct/>
              <w:topLinePunct w:val="0"/>
              <w:autoSpaceDE/>
              <w:autoSpaceDN/>
              <w:bidi w:val="0"/>
              <w:adjustRightInd/>
              <w:snapToGrid/>
              <w:ind w:firstLine="480" w:firstLineChars="200"/>
              <w:jc w:val="center"/>
              <w:textAlignment w:val="auto"/>
              <w:rPr>
                <w:rFonts w:hint="eastAsia" w:ascii="仿宋_GB2312" w:hAnsi="仿宋_GB2312" w:eastAsia="仿宋_GB2312" w:cs="仿宋_GB2312"/>
                <w:sz w:val="24"/>
                <w:szCs w:val="24"/>
                <w:vertAlign w:val="baseline"/>
                <w:lang w:val="en-US" w:eastAsia="zh-CN"/>
              </w:rPr>
            </w:pPr>
          </w:p>
        </w:tc>
        <w:tc>
          <w:tcPr>
            <w:tcW w:w="142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排查人数</w:t>
            </w:r>
          </w:p>
        </w:tc>
        <w:tc>
          <w:tcPr>
            <w:tcW w:w="1421" w:type="dxa"/>
            <w:vAlign w:val="center"/>
          </w:tcPr>
          <w:p>
            <w:pPr>
              <w:keepNext w:val="0"/>
              <w:keepLines w:val="0"/>
              <w:pageBreakBefore w:val="0"/>
              <w:widowControl w:val="0"/>
              <w:kinsoku/>
              <w:wordWrap/>
              <w:overflowPunct/>
              <w:topLinePunct w:val="0"/>
              <w:autoSpaceDE/>
              <w:autoSpaceDN/>
              <w:bidi w:val="0"/>
              <w:adjustRightInd/>
              <w:snapToGrid/>
              <w:ind w:firstLine="480" w:firstLineChars="200"/>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142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住院人数</w:t>
            </w:r>
          </w:p>
        </w:tc>
        <w:tc>
          <w:tcPr>
            <w:tcW w:w="1420" w:type="dxa"/>
            <w:vAlign w:val="center"/>
          </w:tcPr>
          <w:p>
            <w:pPr>
              <w:keepNext w:val="0"/>
              <w:keepLines w:val="0"/>
              <w:pageBreakBefore w:val="0"/>
              <w:widowControl w:val="0"/>
              <w:kinsoku/>
              <w:wordWrap/>
              <w:overflowPunct/>
              <w:topLinePunct w:val="0"/>
              <w:autoSpaceDE/>
              <w:autoSpaceDN/>
              <w:bidi w:val="0"/>
              <w:adjustRightInd/>
              <w:snapToGrid/>
              <w:ind w:firstLine="480" w:firstLineChars="200"/>
              <w:jc w:val="center"/>
              <w:textAlignment w:val="auto"/>
              <w:rPr>
                <w:rFonts w:hint="eastAsia" w:ascii="仿宋_GB2312" w:hAnsi="仿宋_GB2312" w:eastAsia="仿宋_GB2312" w:cs="仿宋_GB2312"/>
                <w:sz w:val="24"/>
                <w:szCs w:val="24"/>
                <w:vertAlign w:val="baseline"/>
                <w:lang w:val="en-US" w:eastAsia="zh-CN"/>
              </w:rPr>
            </w:pPr>
          </w:p>
        </w:tc>
        <w:tc>
          <w:tcPr>
            <w:tcW w:w="142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病重人数</w:t>
            </w:r>
          </w:p>
        </w:tc>
        <w:tc>
          <w:tcPr>
            <w:tcW w:w="1420" w:type="dxa"/>
            <w:vAlign w:val="center"/>
          </w:tcPr>
          <w:p>
            <w:pPr>
              <w:keepNext w:val="0"/>
              <w:keepLines w:val="0"/>
              <w:pageBreakBefore w:val="0"/>
              <w:widowControl w:val="0"/>
              <w:kinsoku/>
              <w:wordWrap/>
              <w:overflowPunct/>
              <w:topLinePunct w:val="0"/>
              <w:autoSpaceDE/>
              <w:autoSpaceDN/>
              <w:bidi w:val="0"/>
              <w:adjustRightInd/>
              <w:snapToGrid/>
              <w:ind w:firstLine="480" w:firstLineChars="200"/>
              <w:jc w:val="center"/>
              <w:textAlignment w:val="auto"/>
              <w:rPr>
                <w:rFonts w:hint="eastAsia" w:ascii="仿宋_GB2312" w:hAnsi="仿宋_GB2312" w:eastAsia="仿宋_GB2312" w:cs="仿宋_GB2312"/>
                <w:sz w:val="24"/>
                <w:szCs w:val="24"/>
                <w:vertAlign w:val="baseline"/>
                <w:lang w:val="en-US" w:eastAsia="zh-CN"/>
              </w:rPr>
            </w:pPr>
          </w:p>
        </w:tc>
        <w:tc>
          <w:tcPr>
            <w:tcW w:w="142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死亡人数</w:t>
            </w:r>
          </w:p>
        </w:tc>
        <w:tc>
          <w:tcPr>
            <w:tcW w:w="1421" w:type="dxa"/>
            <w:vAlign w:val="center"/>
          </w:tcPr>
          <w:p>
            <w:pPr>
              <w:keepNext w:val="0"/>
              <w:keepLines w:val="0"/>
              <w:pageBreakBefore w:val="0"/>
              <w:widowControl w:val="0"/>
              <w:kinsoku/>
              <w:wordWrap/>
              <w:overflowPunct/>
              <w:topLinePunct w:val="0"/>
              <w:autoSpaceDE/>
              <w:autoSpaceDN/>
              <w:bidi w:val="0"/>
              <w:adjustRightInd/>
              <w:snapToGrid/>
              <w:ind w:firstLine="480" w:firstLineChars="200"/>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42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救治单位</w:t>
            </w:r>
          </w:p>
        </w:tc>
        <w:tc>
          <w:tcPr>
            <w:tcW w:w="7102" w:type="dxa"/>
            <w:gridSpan w:val="5"/>
            <w:vAlign w:val="center"/>
          </w:tcPr>
          <w:p>
            <w:pPr>
              <w:keepNext w:val="0"/>
              <w:keepLines w:val="0"/>
              <w:pageBreakBefore w:val="0"/>
              <w:widowControl w:val="0"/>
              <w:kinsoku/>
              <w:wordWrap/>
              <w:overflowPunct/>
              <w:topLinePunct w:val="0"/>
              <w:autoSpaceDE/>
              <w:autoSpaceDN/>
              <w:bidi w:val="0"/>
              <w:adjustRightInd/>
              <w:snapToGrid/>
              <w:ind w:firstLine="480" w:firstLineChars="200"/>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trPr>
        <w:tc>
          <w:tcPr>
            <w:tcW w:w="142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初判等级（√）</w:t>
            </w:r>
          </w:p>
        </w:tc>
        <w:tc>
          <w:tcPr>
            <w:tcW w:w="7102" w:type="dxa"/>
            <w:gridSpan w:val="5"/>
            <w:vAlign w:val="center"/>
          </w:tcPr>
          <w:p>
            <w:pPr>
              <w:keepNext w:val="0"/>
              <w:keepLines w:val="0"/>
              <w:pageBreakBefore w:val="0"/>
              <w:widowControl w:val="0"/>
              <w:kinsoku/>
              <w:wordWrap/>
              <w:overflowPunct/>
              <w:topLinePunct w:val="0"/>
              <w:autoSpaceDE/>
              <w:autoSpaceDN/>
              <w:bidi w:val="0"/>
              <w:adjustRightInd/>
              <w:snapToGrid/>
              <w:ind w:firstLine="480" w:firstLineChars="200"/>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（）一般（Ⅳ级）           （）较大（Ⅲ级）</w:t>
            </w:r>
          </w:p>
          <w:p>
            <w:pPr>
              <w:keepNext w:val="0"/>
              <w:keepLines w:val="0"/>
              <w:pageBreakBefore w:val="0"/>
              <w:widowControl w:val="0"/>
              <w:kinsoku/>
              <w:wordWrap/>
              <w:overflowPunct/>
              <w:topLinePunct w:val="0"/>
              <w:autoSpaceDE/>
              <w:autoSpaceDN/>
              <w:bidi w:val="0"/>
              <w:adjustRightInd/>
              <w:snapToGrid/>
              <w:ind w:firstLine="480" w:firstLineChars="200"/>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（）重大（Ⅱ级）            （）特大（I级）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trPr>
        <w:tc>
          <w:tcPr>
            <w:tcW w:w="8522" w:type="dxa"/>
            <w:gridSpan w:val="6"/>
          </w:tcPr>
          <w:p>
            <w:pPr>
              <w:keepNext w:val="0"/>
              <w:keepLines w:val="0"/>
              <w:pageBreakBefore w:val="0"/>
              <w:widowControl w:val="0"/>
              <w:kinsoku/>
              <w:wordWrap/>
              <w:overflowPunct/>
              <w:topLinePunct w:val="0"/>
              <w:autoSpaceDE/>
              <w:autoSpaceDN/>
              <w:bidi w:val="0"/>
              <w:adjustRightInd/>
              <w:snapToGrid/>
              <w:jc w:val="left"/>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事故经过简要描述：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142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初步调查</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结  果</w:t>
            </w:r>
          </w:p>
        </w:tc>
        <w:tc>
          <w:tcPr>
            <w:tcW w:w="7102" w:type="dxa"/>
            <w:gridSpan w:val="5"/>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42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目前采取</w:t>
            </w:r>
          </w:p>
          <w:p>
            <w:pPr>
              <w:keepNext w:val="0"/>
              <w:keepLines w:val="0"/>
              <w:pageBreakBefore w:val="0"/>
              <w:widowControl w:val="0"/>
              <w:kinsoku/>
              <w:wordWrap/>
              <w:overflowPunct/>
              <w:topLinePunct w:val="0"/>
              <w:autoSpaceDE/>
              <w:autoSpaceDN/>
              <w:bidi w:val="0"/>
              <w:adjustRightInd/>
              <w:snapToGrid/>
              <w:ind w:firstLine="240" w:firstLineChars="100"/>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措  施</w:t>
            </w:r>
          </w:p>
        </w:tc>
        <w:tc>
          <w:tcPr>
            <w:tcW w:w="7102" w:type="dxa"/>
            <w:gridSpan w:val="5"/>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事故发展</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态势预测</w:t>
            </w:r>
          </w:p>
        </w:tc>
        <w:tc>
          <w:tcPr>
            <w:tcW w:w="7102" w:type="dxa"/>
            <w:gridSpan w:val="5"/>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42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报告单位</w:t>
            </w:r>
          </w:p>
        </w:tc>
        <w:tc>
          <w:tcPr>
            <w:tcW w:w="2840" w:type="dxa"/>
            <w:gridSpan w:val="2"/>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仿宋_GB2312" w:hAnsi="仿宋_GB2312" w:eastAsia="仿宋_GB2312" w:cs="仿宋_GB2312"/>
                <w:sz w:val="24"/>
                <w:szCs w:val="24"/>
                <w:vertAlign w:val="baseline"/>
                <w:lang w:val="en-US" w:eastAsia="zh-CN"/>
              </w:rPr>
            </w:pPr>
          </w:p>
        </w:tc>
        <w:tc>
          <w:tcPr>
            <w:tcW w:w="1420"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报告时间</w:t>
            </w:r>
          </w:p>
        </w:tc>
        <w:tc>
          <w:tcPr>
            <w:tcW w:w="2842" w:type="dxa"/>
            <w:gridSpan w:val="2"/>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142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报告人</w:t>
            </w:r>
          </w:p>
        </w:tc>
        <w:tc>
          <w:tcPr>
            <w:tcW w:w="2840" w:type="dxa"/>
            <w:gridSpan w:val="2"/>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仿宋_GB2312" w:hAnsi="仿宋_GB2312" w:eastAsia="仿宋_GB2312" w:cs="仿宋_GB2312"/>
                <w:sz w:val="24"/>
                <w:szCs w:val="24"/>
                <w:vertAlign w:val="baseline"/>
                <w:lang w:val="en-US" w:eastAsia="zh-CN"/>
              </w:rPr>
            </w:pPr>
          </w:p>
        </w:tc>
        <w:tc>
          <w:tcPr>
            <w:tcW w:w="1420"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联系方式</w:t>
            </w:r>
          </w:p>
        </w:tc>
        <w:tc>
          <w:tcPr>
            <w:tcW w:w="2842" w:type="dxa"/>
            <w:gridSpan w:val="2"/>
            <w:vMerge w:val="restart"/>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电话：</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手机：</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传真：</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trPr>
        <w:tc>
          <w:tcPr>
            <w:tcW w:w="142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报告人职务</w:t>
            </w:r>
          </w:p>
        </w:tc>
        <w:tc>
          <w:tcPr>
            <w:tcW w:w="2840" w:type="dxa"/>
            <w:gridSpan w:val="2"/>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仿宋_GB2312" w:hAnsi="仿宋_GB2312" w:eastAsia="仿宋_GB2312" w:cs="仿宋_GB2312"/>
                <w:sz w:val="24"/>
                <w:szCs w:val="24"/>
                <w:vertAlign w:val="baseline"/>
                <w:lang w:val="en-US" w:eastAsia="zh-CN"/>
              </w:rPr>
            </w:pPr>
          </w:p>
        </w:tc>
        <w:tc>
          <w:tcPr>
            <w:tcW w:w="1420" w:type="dxa"/>
            <w:vMerge w:val="continue"/>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仿宋_GB2312" w:hAnsi="仿宋_GB2312" w:eastAsia="仿宋_GB2312" w:cs="仿宋_GB2312"/>
                <w:sz w:val="24"/>
                <w:szCs w:val="24"/>
                <w:vertAlign w:val="baseline"/>
                <w:lang w:val="en-US" w:eastAsia="zh-CN"/>
              </w:rPr>
            </w:pPr>
          </w:p>
        </w:tc>
        <w:tc>
          <w:tcPr>
            <w:tcW w:w="2842" w:type="dxa"/>
            <w:gridSpan w:val="2"/>
            <w:vMerge w:val="continue"/>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仿宋_GB2312" w:hAnsi="仿宋_GB2312" w:eastAsia="仿宋_GB2312" w:cs="仿宋_GB2312"/>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附件5</w:t>
      </w:r>
    </w:p>
    <w:p>
      <w:pPr>
        <w:keepNext w:val="0"/>
        <w:keepLines w:val="0"/>
        <w:pageBreakBefore w:val="0"/>
        <w:widowControl w:val="0"/>
        <w:kinsoku/>
        <w:wordWrap/>
        <w:overflowPunct/>
        <w:topLinePunct w:val="0"/>
        <w:autoSpaceDE/>
        <w:autoSpaceDN/>
        <w:bidi w:val="0"/>
        <w:adjustRightInd/>
        <w:snapToGrid/>
        <w:spacing w:line="576" w:lineRule="exact"/>
        <w:ind w:firstLine="1320" w:firstLineChars="300"/>
        <w:jc w:val="both"/>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聊城经济技术开发区食品安全</w:t>
      </w:r>
    </w:p>
    <w:p>
      <w:pPr>
        <w:keepNext w:val="0"/>
        <w:keepLines w:val="0"/>
        <w:pageBreakBefore w:val="0"/>
        <w:widowControl w:val="0"/>
        <w:kinsoku/>
        <w:wordWrap/>
        <w:overflowPunct/>
        <w:topLinePunct w:val="0"/>
        <w:autoSpaceDE/>
        <w:autoSpaceDN/>
        <w:bidi w:val="0"/>
        <w:adjustRightInd/>
        <w:snapToGrid/>
        <w:spacing w:line="576" w:lineRule="exact"/>
        <w:ind w:firstLine="2200" w:firstLineChars="500"/>
        <w:jc w:val="both"/>
        <w:textAlignment w:val="auto"/>
        <w:rPr>
          <w:rFonts w:hint="eastAsia" w:ascii="仿宋" w:hAnsi="仿宋" w:eastAsia="仿宋" w:cs="仿宋"/>
          <w:b/>
          <w:bCs/>
          <w:sz w:val="32"/>
          <w:szCs w:val="32"/>
          <w:lang w:val="en-US" w:eastAsia="zh-CN"/>
        </w:rPr>
      </w:pPr>
      <w:r>
        <w:rPr>
          <w:rFonts w:hint="eastAsia" w:ascii="方正小标宋简体" w:hAnsi="方正小标宋简体" w:eastAsia="方正小标宋简体" w:cs="方正小标宋简体"/>
          <w:b w:val="0"/>
          <w:bCs w:val="0"/>
          <w:sz w:val="44"/>
          <w:szCs w:val="44"/>
          <w:lang w:val="en-US" w:eastAsia="zh-CN"/>
        </w:rPr>
        <w:t>事故报告表（续报）</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1136"/>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170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事件名称</w:t>
            </w:r>
          </w:p>
        </w:tc>
        <w:tc>
          <w:tcPr>
            <w:tcW w:w="6818" w:type="dxa"/>
            <w:gridSpan w:val="5"/>
            <w:vAlign w:val="center"/>
          </w:tcPr>
          <w:p>
            <w:pPr>
              <w:keepNext w:val="0"/>
              <w:keepLines w:val="0"/>
              <w:pageBreakBefore w:val="0"/>
              <w:widowControl w:val="0"/>
              <w:kinsoku/>
              <w:wordWrap/>
              <w:overflowPunct/>
              <w:topLinePunct w:val="0"/>
              <w:autoSpaceDE/>
              <w:autoSpaceDN/>
              <w:bidi w:val="0"/>
              <w:adjustRightInd/>
              <w:snapToGrid/>
              <w:ind w:firstLine="480" w:firstLineChars="200"/>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170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事发时间</w:t>
            </w:r>
          </w:p>
        </w:tc>
        <w:tc>
          <w:tcPr>
            <w:tcW w:w="1136" w:type="dxa"/>
            <w:vAlign w:val="center"/>
          </w:tcPr>
          <w:p>
            <w:pPr>
              <w:keepNext w:val="0"/>
              <w:keepLines w:val="0"/>
              <w:pageBreakBefore w:val="0"/>
              <w:widowControl w:val="0"/>
              <w:kinsoku/>
              <w:wordWrap/>
              <w:overflowPunct/>
              <w:topLinePunct w:val="0"/>
              <w:autoSpaceDE/>
              <w:autoSpaceDN/>
              <w:bidi w:val="0"/>
              <w:adjustRightInd/>
              <w:snapToGrid/>
              <w:ind w:firstLine="480" w:firstLineChars="200"/>
              <w:jc w:val="center"/>
              <w:textAlignment w:val="auto"/>
              <w:rPr>
                <w:rFonts w:hint="eastAsia" w:ascii="仿宋_GB2312" w:hAnsi="仿宋_GB2312" w:eastAsia="仿宋_GB2312" w:cs="仿宋_GB2312"/>
                <w:sz w:val="24"/>
                <w:szCs w:val="24"/>
                <w:vertAlign w:val="baseline"/>
                <w:lang w:val="en-US" w:eastAsia="zh-CN"/>
              </w:rPr>
            </w:pPr>
          </w:p>
        </w:tc>
        <w:tc>
          <w:tcPr>
            <w:tcW w:w="142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事发地点</w:t>
            </w:r>
          </w:p>
        </w:tc>
        <w:tc>
          <w:tcPr>
            <w:tcW w:w="1420" w:type="dxa"/>
            <w:vAlign w:val="center"/>
          </w:tcPr>
          <w:p>
            <w:pPr>
              <w:keepNext w:val="0"/>
              <w:keepLines w:val="0"/>
              <w:pageBreakBefore w:val="0"/>
              <w:widowControl w:val="0"/>
              <w:kinsoku/>
              <w:wordWrap/>
              <w:overflowPunct/>
              <w:topLinePunct w:val="0"/>
              <w:autoSpaceDE/>
              <w:autoSpaceDN/>
              <w:bidi w:val="0"/>
              <w:adjustRightInd/>
              <w:snapToGrid/>
              <w:ind w:firstLine="480" w:firstLineChars="200"/>
              <w:jc w:val="center"/>
              <w:textAlignment w:val="auto"/>
              <w:rPr>
                <w:rFonts w:hint="eastAsia" w:ascii="仿宋_GB2312" w:hAnsi="仿宋_GB2312" w:eastAsia="仿宋_GB2312" w:cs="仿宋_GB2312"/>
                <w:sz w:val="24"/>
                <w:szCs w:val="24"/>
                <w:vertAlign w:val="baseline"/>
                <w:lang w:val="en-US" w:eastAsia="zh-CN"/>
              </w:rPr>
            </w:pPr>
          </w:p>
        </w:tc>
        <w:tc>
          <w:tcPr>
            <w:tcW w:w="142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事发单位</w:t>
            </w:r>
          </w:p>
        </w:tc>
        <w:tc>
          <w:tcPr>
            <w:tcW w:w="1421" w:type="dxa"/>
            <w:vAlign w:val="center"/>
          </w:tcPr>
          <w:p>
            <w:pPr>
              <w:keepNext w:val="0"/>
              <w:keepLines w:val="0"/>
              <w:pageBreakBefore w:val="0"/>
              <w:widowControl w:val="0"/>
              <w:kinsoku/>
              <w:wordWrap/>
              <w:overflowPunct/>
              <w:topLinePunct w:val="0"/>
              <w:autoSpaceDE/>
              <w:autoSpaceDN/>
              <w:bidi w:val="0"/>
              <w:adjustRightInd/>
              <w:snapToGrid/>
              <w:ind w:firstLine="480" w:firstLineChars="200"/>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70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进食人数</w:t>
            </w:r>
          </w:p>
        </w:tc>
        <w:tc>
          <w:tcPr>
            <w:tcW w:w="1136" w:type="dxa"/>
            <w:vAlign w:val="center"/>
          </w:tcPr>
          <w:p>
            <w:pPr>
              <w:keepNext w:val="0"/>
              <w:keepLines w:val="0"/>
              <w:pageBreakBefore w:val="0"/>
              <w:widowControl w:val="0"/>
              <w:kinsoku/>
              <w:wordWrap/>
              <w:overflowPunct/>
              <w:topLinePunct w:val="0"/>
              <w:autoSpaceDE/>
              <w:autoSpaceDN/>
              <w:bidi w:val="0"/>
              <w:adjustRightInd/>
              <w:snapToGrid/>
              <w:ind w:firstLine="480" w:firstLineChars="200"/>
              <w:jc w:val="center"/>
              <w:textAlignment w:val="auto"/>
              <w:rPr>
                <w:rFonts w:hint="eastAsia" w:ascii="仿宋_GB2312" w:hAnsi="仿宋_GB2312" w:eastAsia="仿宋_GB2312" w:cs="仿宋_GB2312"/>
                <w:sz w:val="24"/>
                <w:szCs w:val="24"/>
                <w:vertAlign w:val="baseline"/>
                <w:lang w:val="en-US" w:eastAsia="zh-CN"/>
              </w:rPr>
            </w:pPr>
          </w:p>
        </w:tc>
        <w:tc>
          <w:tcPr>
            <w:tcW w:w="142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就诊人数</w:t>
            </w:r>
          </w:p>
        </w:tc>
        <w:tc>
          <w:tcPr>
            <w:tcW w:w="1420" w:type="dxa"/>
            <w:vAlign w:val="center"/>
          </w:tcPr>
          <w:p>
            <w:pPr>
              <w:keepNext w:val="0"/>
              <w:keepLines w:val="0"/>
              <w:pageBreakBefore w:val="0"/>
              <w:widowControl w:val="0"/>
              <w:kinsoku/>
              <w:wordWrap/>
              <w:overflowPunct/>
              <w:topLinePunct w:val="0"/>
              <w:autoSpaceDE/>
              <w:autoSpaceDN/>
              <w:bidi w:val="0"/>
              <w:adjustRightInd/>
              <w:snapToGrid/>
              <w:ind w:firstLine="480" w:firstLineChars="200"/>
              <w:jc w:val="center"/>
              <w:textAlignment w:val="auto"/>
              <w:rPr>
                <w:rFonts w:hint="eastAsia" w:ascii="仿宋_GB2312" w:hAnsi="仿宋_GB2312" w:eastAsia="仿宋_GB2312" w:cs="仿宋_GB2312"/>
                <w:sz w:val="24"/>
                <w:szCs w:val="24"/>
                <w:vertAlign w:val="baseline"/>
                <w:lang w:val="en-US" w:eastAsia="zh-CN"/>
              </w:rPr>
            </w:pPr>
          </w:p>
        </w:tc>
        <w:tc>
          <w:tcPr>
            <w:tcW w:w="142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排查人数</w:t>
            </w:r>
          </w:p>
        </w:tc>
        <w:tc>
          <w:tcPr>
            <w:tcW w:w="1421" w:type="dxa"/>
            <w:vAlign w:val="center"/>
          </w:tcPr>
          <w:p>
            <w:pPr>
              <w:keepNext w:val="0"/>
              <w:keepLines w:val="0"/>
              <w:pageBreakBefore w:val="0"/>
              <w:widowControl w:val="0"/>
              <w:kinsoku/>
              <w:wordWrap/>
              <w:overflowPunct/>
              <w:topLinePunct w:val="0"/>
              <w:autoSpaceDE/>
              <w:autoSpaceDN/>
              <w:bidi w:val="0"/>
              <w:adjustRightInd/>
              <w:snapToGrid/>
              <w:ind w:firstLine="480" w:firstLineChars="200"/>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170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住院人数</w:t>
            </w:r>
          </w:p>
        </w:tc>
        <w:tc>
          <w:tcPr>
            <w:tcW w:w="1136" w:type="dxa"/>
            <w:vAlign w:val="center"/>
          </w:tcPr>
          <w:p>
            <w:pPr>
              <w:keepNext w:val="0"/>
              <w:keepLines w:val="0"/>
              <w:pageBreakBefore w:val="0"/>
              <w:widowControl w:val="0"/>
              <w:kinsoku/>
              <w:wordWrap/>
              <w:overflowPunct/>
              <w:topLinePunct w:val="0"/>
              <w:autoSpaceDE/>
              <w:autoSpaceDN/>
              <w:bidi w:val="0"/>
              <w:adjustRightInd/>
              <w:snapToGrid/>
              <w:ind w:firstLine="480" w:firstLineChars="200"/>
              <w:jc w:val="center"/>
              <w:textAlignment w:val="auto"/>
              <w:rPr>
                <w:rFonts w:hint="eastAsia" w:ascii="仿宋_GB2312" w:hAnsi="仿宋_GB2312" w:eastAsia="仿宋_GB2312" w:cs="仿宋_GB2312"/>
                <w:sz w:val="24"/>
                <w:szCs w:val="24"/>
                <w:vertAlign w:val="baseline"/>
                <w:lang w:val="en-US" w:eastAsia="zh-CN"/>
              </w:rPr>
            </w:pPr>
          </w:p>
        </w:tc>
        <w:tc>
          <w:tcPr>
            <w:tcW w:w="142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病重人数</w:t>
            </w:r>
          </w:p>
        </w:tc>
        <w:tc>
          <w:tcPr>
            <w:tcW w:w="1420" w:type="dxa"/>
            <w:vAlign w:val="center"/>
          </w:tcPr>
          <w:p>
            <w:pPr>
              <w:keepNext w:val="0"/>
              <w:keepLines w:val="0"/>
              <w:pageBreakBefore w:val="0"/>
              <w:widowControl w:val="0"/>
              <w:kinsoku/>
              <w:wordWrap/>
              <w:overflowPunct/>
              <w:topLinePunct w:val="0"/>
              <w:autoSpaceDE/>
              <w:autoSpaceDN/>
              <w:bidi w:val="0"/>
              <w:adjustRightInd/>
              <w:snapToGrid/>
              <w:ind w:firstLine="480" w:firstLineChars="200"/>
              <w:jc w:val="center"/>
              <w:textAlignment w:val="auto"/>
              <w:rPr>
                <w:rFonts w:hint="eastAsia" w:ascii="仿宋_GB2312" w:hAnsi="仿宋_GB2312" w:eastAsia="仿宋_GB2312" w:cs="仿宋_GB2312"/>
                <w:sz w:val="24"/>
                <w:szCs w:val="24"/>
                <w:vertAlign w:val="baseline"/>
                <w:lang w:val="en-US" w:eastAsia="zh-CN"/>
              </w:rPr>
            </w:pPr>
          </w:p>
        </w:tc>
        <w:tc>
          <w:tcPr>
            <w:tcW w:w="142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死亡人数</w:t>
            </w:r>
          </w:p>
        </w:tc>
        <w:tc>
          <w:tcPr>
            <w:tcW w:w="1421" w:type="dxa"/>
            <w:vAlign w:val="center"/>
          </w:tcPr>
          <w:p>
            <w:pPr>
              <w:keepNext w:val="0"/>
              <w:keepLines w:val="0"/>
              <w:pageBreakBefore w:val="0"/>
              <w:widowControl w:val="0"/>
              <w:kinsoku/>
              <w:wordWrap/>
              <w:overflowPunct/>
              <w:topLinePunct w:val="0"/>
              <w:autoSpaceDE/>
              <w:autoSpaceDN/>
              <w:bidi w:val="0"/>
              <w:adjustRightInd/>
              <w:snapToGrid/>
              <w:ind w:firstLine="480" w:firstLineChars="200"/>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170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救治单位</w:t>
            </w:r>
          </w:p>
        </w:tc>
        <w:tc>
          <w:tcPr>
            <w:tcW w:w="6818" w:type="dxa"/>
            <w:gridSpan w:val="5"/>
            <w:vAlign w:val="center"/>
          </w:tcPr>
          <w:p>
            <w:pPr>
              <w:keepNext w:val="0"/>
              <w:keepLines w:val="0"/>
              <w:pageBreakBefore w:val="0"/>
              <w:widowControl w:val="0"/>
              <w:kinsoku/>
              <w:wordWrap/>
              <w:overflowPunct/>
              <w:topLinePunct w:val="0"/>
              <w:autoSpaceDE/>
              <w:autoSpaceDN/>
              <w:bidi w:val="0"/>
              <w:adjustRightInd/>
              <w:snapToGrid/>
              <w:ind w:firstLine="480" w:firstLineChars="200"/>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trPr>
        <w:tc>
          <w:tcPr>
            <w:tcW w:w="170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当前事件</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等级判断（√）</w:t>
            </w:r>
          </w:p>
        </w:tc>
        <w:tc>
          <w:tcPr>
            <w:tcW w:w="6818" w:type="dxa"/>
            <w:gridSpan w:val="5"/>
            <w:vAlign w:val="center"/>
          </w:tcPr>
          <w:p>
            <w:pPr>
              <w:keepNext w:val="0"/>
              <w:keepLines w:val="0"/>
              <w:pageBreakBefore w:val="0"/>
              <w:widowControl w:val="0"/>
              <w:kinsoku/>
              <w:wordWrap/>
              <w:overflowPunct/>
              <w:topLinePunct w:val="0"/>
              <w:autoSpaceDE/>
              <w:autoSpaceDN/>
              <w:bidi w:val="0"/>
              <w:adjustRightInd/>
              <w:snapToGrid/>
              <w:ind w:firstLine="480" w:firstLineChars="200"/>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（）一般（Ⅳ级）           （）较大（Ⅲ级）</w:t>
            </w:r>
          </w:p>
          <w:p>
            <w:pPr>
              <w:keepNext w:val="0"/>
              <w:keepLines w:val="0"/>
              <w:pageBreakBefore w:val="0"/>
              <w:widowControl w:val="0"/>
              <w:kinsoku/>
              <w:wordWrap/>
              <w:overflowPunct/>
              <w:topLinePunct w:val="0"/>
              <w:autoSpaceDE/>
              <w:autoSpaceDN/>
              <w:bidi w:val="0"/>
              <w:adjustRightInd/>
              <w:snapToGrid/>
              <w:ind w:firstLine="480" w:firstLineChars="200"/>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（）重大（Ⅱ级）            （）特大（I级）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7" w:hRule="atLeast"/>
        </w:trPr>
        <w:tc>
          <w:tcPr>
            <w:tcW w:w="8522" w:type="dxa"/>
            <w:gridSpan w:val="6"/>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事故进展情况：（主要包括事件调查核实情况，处置进展情况等。）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170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续保单位</w:t>
            </w:r>
          </w:p>
        </w:tc>
        <w:tc>
          <w:tcPr>
            <w:tcW w:w="2556" w:type="dxa"/>
            <w:gridSpan w:val="2"/>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仿宋_GB2312" w:hAnsi="仿宋_GB2312" w:eastAsia="仿宋_GB2312" w:cs="仿宋_GB2312"/>
                <w:sz w:val="24"/>
                <w:szCs w:val="24"/>
                <w:vertAlign w:val="baseline"/>
                <w:lang w:val="en-US" w:eastAsia="zh-CN"/>
              </w:rPr>
            </w:pPr>
          </w:p>
        </w:tc>
        <w:tc>
          <w:tcPr>
            <w:tcW w:w="1420"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续保时间</w:t>
            </w:r>
          </w:p>
        </w:tc>
        <w:tc>
          <w:tcPr>
            <w:tcW w:w="2842" w:type="dxa"/>
            <w:gridSpan w:val="2"/>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170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报告人</w:t>
            </w:r>
          </w:p>
        </w:tc>
        <w:tc>
          <w:tcPr>
            <w:tcW w:w="2556" w:type="dxa"/>
            <w:gridSpan w:val="2"/>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仿宋_GB2312" w:hAnsi="仿宋_GB2312" w:eastAsia="仿宋_GB2312" w:cs="仿宋_GB2312"/>
                <w:sz w:val="24"/>
                <w:szCs w:val="24"/>
                <w:vertAlign w:val="baseline"/>
                <w:lang w:val="en-US" w:eastAsia="zh-CN"/>
              </w:rPr>
            </w:pPr>
          </w:p>
        </w:tc>
        <w:tc>
          <w:tcPr>
            <w:tcW w:w="1420"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联系方式</w:t>
            </w:r>
          </w:p>
        </w:tc>
        <w:tc>
          <w:tcPr>
            <w:tcW w:w="2842" w:type="dxa"/>
            <w:gridSpan w:val="2"/>
            <w:vMerge w:val="restart"/>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电话：</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手机：</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传真：</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trPr>
        <w:tc>
          <w:tcPr>
            <w:tcW w:w="170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报告人职务</w:t>
            </w:r>
          </w:p>
        </w:tc>
        <w:tc>
          <w:tcPr>
            <w:tcW w:w="2556" w:type="dxa"/>
            <w:gridSpan w:val="2"/>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仿宋_GB2312" w:hAnsi="仿宋_GB2312" w:eastAsia="仿宋_GB2312" w:cs="仿宋_GB2312"/>
                <w:sz w:val="24"/>
                <w:szCs w:val="24"/>
                <w:vertAlign w:val="baseline"/>
                <w:lang w:val="en-US" w:eastAsia="zh-CN"/>
              </w:rPr>
            </w:pPr>
          </w:p>
        </w:tc>
        <w:tc>
          <w:tcPr>
            <w:tcW w:w="1420" w:type="dxa"/>
            <w:vMerge w:val="continue"/>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仿宋_GB2312" w:hAnsi="仿宋_GB2312" w:eastAsia="仿宋_GB2312" w:cs="仿宋_GB2312"/>
                <w:sz w:val="24"/>
                <w:szCs w:val="24"/>
                <w:vertAlign w:val="baseline"/>
                <w:lang w:val="en-US" w:eastAsia="zh-CN"/>
              </w:rPr>
            </w:pPr>
          </w:p>
        </w:tc>
        <w:tc>
          <w:tcPr>
            <w:tcW w:w="2842" w:type="dxa"/>
            <w:gridSpan w:val="2"/>
            <w:vMerge w:val="continue"/>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仿宋_GB2312" w:hAnsi="仿宋_GB2312" w:eastAsia="仿宋_GB2312" w:cs="仿宋_GB2312"/>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jc w:val="left"/>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附件6</w:t>
      </w:r>
    </w:p>
    <w:p>
      <w:pPr>
        <w:keepNext w:val="0"/>
        <w:keepLines w:val="0"/>
        <w:pageBreakBefore w:val="0"/>
        <w:widowControl w:val="0"/>
        <w:kinsoku/>
        <w:wordWrap/>
        <w:overflowPunct/>
        <w:topLinePunct w:val="0"/>
        <w:autoSpaceDE/>
        <w:autoSpaceDN/>
        <w:bidi w:val="0"/>
        <w:adjustRightInd/>
        <w:snapToGrid/>
        <w:spacing w:line="576" w:lineRule="exact"/>
        <w:ind w:firstLine="1320" w:firstLineChars="300"/>
        <w:jc w:val="both"/>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聊城经济技术开发区食品安全</w:t>
      </w:r>
    </w:p>
    <w:p>
      <w:pPr>
        <w:keepNext w:val="0"/>
        <w:keepLines w:val="0"/>
        <w:pageBreakBefore w:val="0"/>
        <w:widowControl w:val="0"/>
        <w:kinsoku/>
        <w:wordWrap/>
        <w:overflowPunct/>
        <w:topLinePunct w:val="0"/>
        <w:autoSpaceDE/>
        <w:autoSpaceDN/>
        <w:bidi w:val="0"/>
        <w:adjustRightInd/>
        <w:snapToGrid/>
        <w:spacing w:line="576" w:lineRule="exact"/>
        <w:ind w:firstLine="2200" w:firstLineChars="500"/>
        <w:jc w:val="both"/>
        <w:textAlignment w:val="auto"/>
        <w:rPr>
          <w:rFonts w:hint="eastAsia" w:ascii="仿宋" w:hAnsi="仿宋" w:eastAsia="仿宋" w:cs="仿宋"/>
          <w:b/>
          <w:bCs/>
          <w:sz w:val="32"/>
          <w:szCs w:val="32"/>
          <w:lang w:val="en-US" w:eastAsia="zh-CN"/>
        </w:rPr>
      </w:pPr>
      <w:r>
        <w:rPr>
          <w:rFonts w:hint="eastAsia" w:ascii="方正小标宋简体" w:hAnsi="方正小标宋简体" w:eastAsia="方正小标宋简体" w:cs="方正小标宋简体"/>
          <w:b w:val="0"/>
          <w:bCs w:val="0"/>
          <w:sz w:val="44"/>
          <w:szCs w:val="44"/>
          <w:lang w:val="en-US" w:eastAsia="zh-CN"/>
        </w:rPr>
        <w:t>事故报告表（终报）</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89"/>
        <w:gridCol w:w="1151"/>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168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事件名称</w:t>
            </w:r>
          </w:p>
        </w:tc>
        <w:tc>
          <w:tcPr>
            <w:tcW w:w="6833" w:type="dxa"/>
            <w:gridSpan w:val="5"/>
            <w:vAlign w:val="center"/>
          </w:tcPr>
          <w:p>
            <w:pPr>
              <w:keepNext w:val="0"/>
              <w:keepLines w:val="0"/>
              <w:pageBreakBefore w:val="0"/>
              <w:widowControl w:val="0"/>
              <w:kinsoku/>
              <w:wordWrap/>
              <w:overflowPunct/>
              <w:topLinePunct w:val="0"/>
              <w:autoSpaceDE/>
              <w:autoSpaceDN/>
              <w:bidi w:val="0"/>
              <w:adjustRightInd/>
              <w:snapToGrid/>
              <w:ind w:firstLine="480" w:firstLineChars="200"/>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168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事发时间</w:t>
            </w:r>
          </w:p>
        </w:tc>
        <w:tc>
          <w:tcPr>
            <w:tcW w:w="1151" w:type="dxa"/>
            <w:vAlign w:val="center"/>
          </w:tcPr>
          <w:p>
            <w:pPr>
              <w:keepNext w:val="0"/>
              <w:keepLines w:val="0"/>
              <w:pageBreakBefore w:val="0"/>
              <w:widowControl w:val="0"/>
              <w:kinsoku/>
              <w:wordWrap/>
              <w:overflowPunct/>
              <w:topLinePunct w:val="0"/>
              <w:autoSpaceDE/>
              <w:autoSpaceDN/>
              <w:bidi w:val="0"/>
              <w:adjustRightInd/>
              <w:snapToGrid/>
              <w:ind w:firstLine="480" w:firstLineChars="200"/>
              <w:jc w:val="center"/>
              <w:textAlignment w:val="auto"/>
              <w:rPr>
                <w:rFonts w:hint="eastAsia" w:ascii="仿宋_GB2312" w:hAnsi="仿宋_GB2312" w:eastAsia="仿宋_GB2312" w:cs="仿宋_GB2312"/>
                <w:sz w:val="24"/>
                <w:szCs w:val="24"/>
                <w:vertAlign w:val="baseline"/>
                <w:lang w:val="en-US" w:eastAsia="zh-CN"/>
              </w:rPr>
            </w:pPr>
          </w:p>
        </w:tc>
        <w:tc>
          <w:tcPr>
            <w:tcW w:w="142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事发地点</w:t>
            </w:r>
          </w:p>
        </w:tc>
        <w:tc>
          <w:tcPr>
            <w:tcW w:w="1420" w:type="dxa"/>
            <w:vAlign w:val="center"/>
          </w:tcPr>
          <w:p>
            <w:pPr>
              <w:keepNext w:val="0"/>
              <w:keepLines w:val="0"/>
              <w:pageBreakBefore w:val="0"/>
              <w:widowControl w:val="0"/>
              <w:kinsoku/>
              <w:wordWrap/>
              <w:overflowPunct/>
              <w:topLinePunct w:val="0"/>
              <w:autoSpaceDE/>
              <w:autoSpaceDN/>
              <w:bidi w:val="0"/>
              <w:adjustRightInd/>
              <w:snapToGrid/>
              <w:ind w:firstLine="480" w:firstLineChars="200"/>
              <w:jc w:val="center"/>
              <w:textAlignment w:val="auto"/>
              <w:rPr>
                <w:rFonts w:hint="eastAsia" w:ascii="仿宋_GB2312" w:hAnsi="仿宋_GB2312" w:eastAsia="仿宋_GB2312" w:cs="仿宋_GB2312"/>
                <w:sz w:val="24"/>
                <w:szCs w:val="24"/>
                <w:vertAlign w:val="baseline"/>
                <w:lang w:val="en-US" w:eastAsia="zh-CN"/>
              </w:rPr>
            </w:pPr>
          </w:p>
        </w:tc>
        <w:tc>
          <w:tcPr>
            <w:tcW w:w="142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事发单位</w:t>
            </w:r>
          </w:p>
        </w:tc>
        <w:tc>
          <w:tcPr>
            <w:tcW w:w="1421" w:type="dxa"/>
            <w:vAlign w:val="center"/>
          </w:tcPr>
          <w:p>
            <w:pPr>
              <w:keepNext w:val="0"/>
              <w:keepLines w:val="0"/>
              <w:pageBreakBefore w:val="0"/>
              <w:widowControl w:val="0"/>
              <w:kinsoku/>
              <w:wordWrap/>
              <w:overflowPunct/>
              <w:topLinePunct w:val="0"/>
              <w:autoSpaceDE/>
              <w:autoSpaceDN/>
              <w:bidi w:val="0"/>
              <w:adjustRightInd/>
              <w:snapToGrid/>
              <w:ind w:firstLine="480" w:firstLineChars="200"/>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168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进食人数</w:t>
            </w:r>
          </w:p>
        </w:tc>
        <w:tc>
          <w:tcPr>
            <w:tcW w:w="1151" w:type="dxa"/>
            <w:vAlign w:val="center"/>
          </w:tcPr>
          <w:p>
            <w:pPr>
              <w:keepNext w:val="0"/>
              <w:keepLines w:val="0"/>
              <w:pageBreakBefore w:val="0"/>
              <w:widowControl w:val="0"/>
              <w:kinsoku/>
              <w:wordWrap/>
              <w:overflowPunct/>
              <w:topLinePunct w:val="0"/>
              <w:autoSpaceDE/>
              <w:autoSpaceDN/>
              <w:bidi w:val="0"/>
              <w:adjustRightInd/>
              <w:snapToGrid/>
              <w:ind w:firstLine="480" w:firstLineChars="200"/>
              <w:jc w:val="center"/>
              <w:textAlignment w:val="auto"/>
              <w:rPr>
                <w:rFonts w:hint="eastAsia" w:ascii="仿宋_GB2312" w:hAnsi="仿宋_GB2312" w:eastAsia="仿宋_GB2312" w:cs="仿宋_GB2312"/>
                <w:sz w:val="24"/>
                <w:szCs w:val="24"/>
                <w:vertAlign w:val="baseline"/>
                <w:lang w:val="en-US" w:eastAsia="zh-CN"/>
              </w:rPr>
            </w:pPr>
          </w:p>
        </w:tc>
        <w:tc>
          <w:tcPr>
            <w:tcW w:w="142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就诊人数</w:t>
            </w:r>
          </w:p>
        </w:tc>
        <w:tc>
          <w:tcPr>
            <w:tcW w:w="1420" w:type="dxa"/>
            <w:vAlign w:val="center"/>
          </w:tcPr>
          <w:p>
            <w:pPr>
              <w:keepNext w:val="0"/>
              <w:keepLines w:val="0"/>
              <w:pageBreakBefore w:val="0"/>
              <w:widowControl w:val="0"/>
              <w:kinsoku/>
              <w:wordWrap/>
              <w:overflowPunct/>
              <w:topLinePunct w:val="0"/>
              <w:autoSpaceDE/>
              <w:autoSpaceDN/>
              <w:bidi w:val="0"/>
              <w:adjustRightInd/>
              <w:snapToGrid/>
              <w:ind w:firstLine="480" w:firstLineChars="200"/>
              <w:jc w:val="center"/>
              <w:textAlignment w:val="auto"/>
              <w:rPr>
                <w:rFonts w:hint="eastAsia" w:ascii="仿宋_GB2312" w:hAnsi="仿宋_GB2312" w:eastAsia="仿宋_GB2312" w:cs="仿宋_GB2312"/>
                <w:sz w:val="24"/>
                <w:szCs w:val="24"/>
                <w:vertAlign w:val="baseline"/>
                <w:lang w:val="en-US" w:eastAsia="zh-CN"/>
              </w:rPr>
            </w:pPr>
          </w:p>
        </w:tc>
        <w:tc>
          <w:tcPr>
            <w:tcW w:w="142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排查人数</w:t>
            </w:r>
          </w:p>
        </w:tc>
        <w:tc>
          <w:tcPr>
            <w:tcW w:w="1421" w:type="dxa"/>
            <w:vAlign w:val="center"/>
          </w:tcPr>
          <w:p>
            <w:pPr>
              <w:keepNext w:val="0"/>
              <w:keepLines w:val="0"/>
              <w:pageBreakBefore w:val="0"/>
              <w:widowControl w:val="0"/>
              <w:kinsoku/>
              <w:wordWrap/>
              <w:overflowPunct/>
              <w:topLinePunct w:val="0"/>
              <w:autoSpaceDE/>
              <w:autoSpaceDN/>
              <w:bidi w:val="0"/>
              <w:adjustRightInd/>
              <w:snapToGrid/>
              <w:ind w:firstLine="480" w:firstLineChars="200"/>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68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住院人数</w:t>
            </w:r>
          </w:p>
        </w:tc>
        <w:tc>
          <w:tcPr>
            <w:tcW w:w="1151" w:type="dxa"/>
            <w:vAlign w:val="center"/>
          </w:tcPr>
          <w:p>
            <w:pPr>
              <w:keepNext w:val="0"/>
              <w:keepLines w:val="0"/>
              <w:pageBreakBefore w:val="0"/>
              <w:widowControl w:val="0"/>
              <w:kinsoku/>
              <w:wordWrap/>
              <w:overflowPunct/>
              <w:topLinePunct w:val="0"/>
              <w:autoSpaceDE/>
              <w:autoSpaceDN/>
              <w:bidi w:val="0"/>
              <w:adjustRightInd/>
              <w:snapToGrid/>
              <w:ind w:firstLine="480" w:firstLineChars="200"/>
              <w:jc w:val="center"/>
              <w:textAlignment w:val="auto"/>
              <w:rPr>
                <w:rFonts w:hint="eastAsia" w:ascii="仿宋_GB2312" w:hAnsi="仿宋_GB2312" w:eastAsia="仿宋_GB2312" w:cs="仿宋_GB2312"/>
                <w:sz w:val="24"/>
                <w:szCs w:val="24"/>
                <w:vertAlign w:val="baseline"/>
                <w:lang w:val="en-US" w:eastAsia="zh-CN"/>
              </w:rPr>
            </w:pPr>
          </w:p>
        </w:tc>
        <w:tc>
          <w:tcPr>
            <w:tcW w:w="142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病重人数</w:t>
            </w:r>
          </w:p>
        </w:tc>
        <w:tc>
          <w:tcPr>
            <w:tcW w:w="1420" w:type="dxa"/>
            <w:vAlign w:val="center"/>
          </w:tcPr>
          <w:p>
            <w:pPr>
              <w:keepNext w:val="0"/>
              <w:keepLines w:val="0"/>
              <w:pageBreakBefore w:val="0"/>
              <w:widowControl w:val="0"/>
              <w:kinsoku/>
              <w:wordWrap/>
              <w:overflowPunct/>
              <w:topLinePunct w:val="0"/>
              <w:autoSpaceDE/>
              <w:autoSpaceDN/>
              <w:bidi w:val="0"/>
              <w:adjustRightInd/>
              <w:snapToGrid/>
              <w:ind w:firstLine="480" w:firstLineChars="200"/>
              <w:jc w:val="center"/>
              <w:textAlignment w:val="auto"/>
              <w:rPr>
                <w:rFonts w:hint="eastAsia" w:ascii="仿宋_GB2312" w:hAnsi="仿宋_GB2312" w:eastAsia="仿宋_GB2312" w:cs="仿宋_GB2312"/>
                <w:sz w:val="24"/>
                <w:szCs w:val="24"/>
                <w:vertAlign w:val="baseline"/>
                <w:lang w:val="en-US" w:eastAsia="zh-CN"/>
              </w:rPr>
            </w:pPr>
          </w:p>
        </w:tc>
        <w:tc>
          <w:tcPr>
            <w:tcW w:w="142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死亡人数</w:t>
            </w:r>
          </w:p>
        </w:tc>
        <w:tc>
          <w:tcPr>
            <w:tcW w:w="1421" w:type="dxa"/>
            <w:vAlign w:val="center"/>
          </w:tcPr>
          <w:p>
            <w:pPr>
              <w:keepNext w:val="0"/>
              <w:keepLines w:val="0"/>
              <w:pageBreakBefore w:val="0"/>
              <w:widowControl w:val="0"/>
              <w:kinsoku/>
              <w:wordWrap/>
              <w:overflowPunct/>
              <w:topLinePunct w:val="0"/>
              <w:autoSpaceDE/>
              <w:autoSpaceDN/>
              <w:bidi w:val="0"/>
              <w:adjustRightInd/>
              <w:snapToGrid/>
              <w:ind w:firstLine="480" w:firstLineChars="200"/>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68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救治单位</w:t>
            </w:r>
          </w:p>
        </w:tc>
        <w:tc>
          <w:tcPr>
            <w:tcW w:w="6833" w:type="dxa"/>
            <w:gridSpan w:val="5"/>
            <w:vAlign w:val="center"/>
          </w:tcPr>
          <w:p>
            <w:pPr>
              <w:keepNext w:val="0"/>
              <w:keepLines w:val="0"/>
              <w:pageBreakBefore w:val="0"/>
              <w:widowControl w:val="0"/>
              <w:kinsoku/>
              <w:wordWrap/>
              <w:overflowPunct/>
              <w:topLinePunct w:val="0"/>
              <w:autoSpaceDE/>
              <w:autoSpaceDN/>
              <w:bidi w:val="0"/>
              <w:adjustRightInd/>
              <w:snapToGrid/>
              <w:ind w:firstLine="480" w:firstLineChars="200"/>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trPr>
        <w:tc>
          <w:tcPr>
            <w:tcW w:w="168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事  件</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等级判断（√）</w:t>
            </w:r>
          </w:p>
        </w:tc>
        <w:tc>
          <w:tcPr>
            <w:tcW w:w="6833" w:type="dxa"/>
            <w:gridSpan w:val="5"/>
            <w:vAlign w:val="center"/>
          </w:tcPr>
          <w:p>
            <w:pPr>
              <w:keepNext w:val="0"/>
              <w:keepLines w:val="0"/>
              <w:pageBreakBefore w:val="0"/>
              <w:widowControl w:val="0"/>
              <w:kinsoku/>
              <w:wordWrap/>
              <w:overflowPunct/>
              <w:topLinePunct w:val="0"/>
              <w:autoSpaceDE/>
              <w:autoSpaceDN/>
              <w:bidi w:val="0"/>
              <w:adjustRightInd/>
              <w:snapToGrid/>
              <w:ind w:firstLine="480" w:firstLineChars="200"/>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（）一般（Ⅳ级）           （）较大（Ⅲ级）</w:t>
            </w:r>
          </w:p>
          <w:p>
            <w:pPr>
              <w:keepNext w:val="0"/>
              <w:keepLines w:val="0"/>
              <w:pageBreakBefore w:val="0"/>
              <w:widowControl w:val="0"/>
              <w:kinsoku/>
              <w:wordWrap/>
              <w:overflowPunct/>
              <w:topLinePunct w:val="0"/>
              <w:autoSpaceDE/>
              <w:autoSpaceDN/>
              <w:bidi w:val="0"/>
              <w:adjustRightInd/>
              <w:snapToGrid/>
              <w:ind w:firstLine="480" w:firstLineChars="200"/>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（）重大（Ⅱ级）            （）特大（I级）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7" w:hRule="atLeast"/>
        </w:trPr>
        <w:tc>
          <w:tcPr>
            <w:tcW w:w="8522" w:type="dxa"/>
            <w:gridSpan w:val="6"/>
          </w:tcPr>
          <w:p>
            <w:pPr>
              <w:keepNext w:val="0"/>
              <w:keepLines w:val="0"/>
              <w:widowControl/>
              <w:suppressLineNumbers w:val="0"/>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 xml:space="preserve">总结报告：（应包括食品安全事故鉴定结论、事故发生和处理情况；提出今后对 </w:t>
            </w:r>
          </w:p>
          <w:p>
            <w:pPr>
              <w:keepNext w:val="0"/>
              <w:keepLines w:val="0"/>
              <w:widowControl/>
              <w:suppressLineNumbers w:val="0"/>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 xml:space="preserve">类似事故的防范措施和处置建议；提出对引发食品安全事故的有关单位和责任人 </w:t>
            </w:r>
          </w:p>
          <w:p>
            <w:pPr>
              <w:keepNext w:val="0"/>
              <w:keepLines w:val="0"/>
              <w:widowControl/>
              <w:suppressLineNumbers w:val="0"/>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的处罚意见。）</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168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终报单位</w:t>
            </w:r>
          </w:p>
        </w:tc>
        <w:tc>
          <w:tcPr>
            <w:tcW w:w="2571" w:type="dxa"/>
            <w:gridSpan w:val="2"/>
            <w:vAlign w:val="center"/>
          </w:tcPr>
          <w:p>
            <w:pPr>
              <w:keepNext w:val="0"/>
              <w:keepLines w:val="0"/>
              <w:pageBreakBefore w:val="0"/>
              <w:widowControl w:val="0"/>
              <w:kinsoku/>
              <w:wordWrap/>
              <w:overflowPunct/>
              <w:topLinePunct w:val="0"/>
              <w:autoSpaceDE/>
              <w:autoSpaceDN/>
              <w:bidi w:val="0"/>
              <w:adjustRightInd/>
              <w:snapToGrid/>
              <w:ind w:firstLine="480" w:firstLineChars="200"/>
              <w:jc w:val="center"/>
              <w:textAlignment w:val="auto"/>
              <w:rPr>
                <w:rFonts w:hint="eastAsia" w:ascii="仿宋_GB2312" w:hAnsi="仿宋_GB2312" w:eastAsia="仿宋_GB2312" w:cs="仿宋_GB2312"/>
                <w:sz w:val="24"/>
                <w:szCs w:val="24"/>
                <w:vertAlign w:val="baseline"/>
                <w:lang w:val="en-US" w:eastAsia="zh-CN"/>
              </w:rPr>
            </w:pPr>
          </w:p>
        </w:tc>
        <w:tc>
          <w:tcPr>
            <w:tcW w:w="142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终保时间</w:t>
            </w:r>
          </w:p>
        </w:tc>
        <w:tc>
          <w:tcPr>
            <w:tcW w:w="2842" w:type="dxa"/>
            <w:gridSpan w:val="2"/>
            <w:vAlign w:val="center"/>
          </w:tcPr>
          <w:p>
            <w:pPr>
              <w:keepNext w:val="0"/>
              <w:keepLines w:val="0"/>
              <w:pageBreakBefore w:val="0"/>
              <w:widowControl w:val="0"/>
              <w:kinsoku/>
              <w:wordWrap/>
              <w:overflowPunct/>
              <w:topLinePunct w:val="0"/>
              <w:autoSpaceDE/>
              <w:autoSpaceDN/>
              <w:bidi w:val="0"/>
              <w:adjustRightInd/>
              <w:snapToGrid/>
              <w:ind w:firstLine="480" w:firstLineChars="200"/>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168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报告人</w:t>
            </w:r>
          </w:p>
        </w:tc>
        <w:tc>
          <w:tcPr>
            <w:tcW w:w="2571" w:type="dxa"/>
            <w:gridSpan w:val="2"/>
            <w:vAlign w:val="center"/>
          </w:tcPr>
          <w:p>
            <w:pPr>
              <w:keepNext w:val="0"/>
              <w:keepLines w:val="0"/>
              <w:pageBreakBefore w:val="0"/>
              <w:widowControl w:val="0"/>
              <w:kinsoku/>
              <w:wordWrap/>
              <w:overflowPunct/>
              <w:topLinePunct w:val="0"/>
              <w:autoSpaceDE/>
              <w:autoSpaceDN/>
              <w:bidi w:val="0"/>
              <w:adjustRightInd/>
              <w:snapToGrid/>
              <w:ind w:firstLine="480" w:firstLineChars="200"/>
              <w:jc w:val="center"/>
              <w:textAlignment w:val="auto"/>
              <w:rPr>
                <w:rFonts w:hint="eastAsia" w:ascii="仿宋_GB2312" w:hAnsi="仿宋_GB2312" w:eastAsia="仿宋_GB2312" w:cs="仿宋_GB2312"/>
                <w:sz w:val="24"/>
                <w:szCs w:val="24"/>
                <w:vertAlign w:val="baseline"/>
                <w:lang w:val="en-US" w:eastAsia="zh-CN"/>
              </w:rPr>
            </w:pPr>
          </w:p>
        </w:tc>
        <w:tc>
          <w:tcPr>
            <w:tcW w:w="1420"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联系方式</w:t>
            </w:r>
          </w:p>
        </w:tc>
        <w:tc>
          <w:tcPr>
            <w:tcW w:w="2842" w:type="dxa"/>
            <w:gridSpan w:val="2"/>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电话：</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手机：</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传真：</w:t>
            </w:r>
          </w:p>
          <w:p>
            <w:pPr>
              <w:keepNext w:val="0"/>
              <w:keepLines w:val="0"/>
              <w:pageBreakBefore w:val="0"/>
              <w:widowControl w:val="0"/>
              <w:kinsoku/>
              <w:wordWrap/>
              <w:overflowPunct/>
              <w:topLinePunct w:val="0"/>
              <w:autoSpaceDE/>
              <w:autoSpaceDN/>
              <w:bidi w:val="0"/>
              <w:adjustRightInd/>
              <w:snapToGrid/>
              <w:ind w:firstLine="480" w:firstLineChars="200"/>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trPr>
        <w:tc>
          <w:tcPr>
            <w:tcW w:w="168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报告人职务</w:t>
            </w:r>
          </w:p>
        </w:tc>
        <w:tc>
          <w:tcPr>
            <w:tcW w:w="2571" w:type="dxa"/>
            <w:gridSpan w:val="2"/>
            <w:vAlign w:val="center"/>
          </w:tcPr>
          <w:p>
            <w:pPr>
              <w:keepNext w:val="0"/>
              <w:keepLines w:val="0"/>
              <w:pageBreakBefore w:val="0"/>
              <w:widowControl w:val="0"/>
              <w:kinsoku/>
              <w:wordWrap/>
              <w:overflowPunct/>
              <w:topLinePunct w:val="0"/>
              <w:autoSpaceDE/>
              <w:autoSpaceDN/>
              <w:bidi w:val="0"/>
              <w:adjustRightInd/>
              <w:snapToGrid/>
              <w:ind w:firstLine="480" w:firstLineChars="200"/>
              <w:jc w:val="center"/>
              <w:textAlignment w:val="auto"/>
              <w:rPr>
                <w:rFonts w:hint="eastAsia" w:ascii="仿宋_GB2312" w:hAnsi="仿宋_GB2312" w:eastAsia="仿宋_GB2312" w:cs="仿宋_GB2312"/>
                <w:sz w:val="24"/>
                <w:szCs w:val="24"/>
                <w:vertAlign w:val="baseline"/>
                <w:lang w:val="en-US" w:eastAsia="zh-CN"/>
              </w:rPr>
            </w:pPr>
          </w:p>
        </w:tc>
        <w:tc>
          <w:tcPr>
            <w:tcW w:w="1420" w:type="dxa"/>
            <w:vMerge w:val="continue"/>
            <w:vAlign w:val="center"/>
          </w:tcPr>
          <w:p>
            <w:pPr>
              <w:keepNext w:val="0"/>
              <w:keepLines w:val="0"/>
              <w:pageBreakBefore w:val="0"/>
              <w:widowControl w:val="0"/>
              <w:kinsoku/>
              <w:wordWrap/>
              <w:overflowPunct/>
              <w:topLinePunct w:val="0"/>
              <w:autoSpaceDE/>
              <w:autoSpaceDN/>
              <w:bidi w:val="0"/>
              <w:adjustRightInd/>
              <w:snapToGrid/>
              <w:ind w:firstLine="480" w:firstLineChars="200"/>
              <w:jc w:val="center"/>
              <w:textAlignment w:val="auto"/>
              <w:rPr>
                <w:rFonts w:hint="eastAsia" w:ascii="仿宋_GB2312" w:hAnsi="仿宋_GB2312" w:eastAsia="仿宋_GB2312" w:cs="仿宋_GB2312"/>
                <w:sz w:val="24"/>
                <w:szCs w:val="24"/>
                <w:vertAlign w:val="baseline"/>
                <w:lang w:val="en-US" w:eastAsia="zh-CN"/>
              </w:rPr>
            </w:pPr>
          </w:p>
        </w:tc>
        <w:tc>
          <w:tcPr>
            <w:tcW w:w="2842" w:type="dxa"/>
            <w:gridSpan w:val="2"/>
            <w:vMerge w:val="continue"/>
            <w:vAlign w:val="center"/>
          </w:tcPr>
          <w:p>
            <w:pPr>
              <w:keepNext w:val="0"/>
              <w:keepLines w:val="0"/>
              <w:pageBreakBefore w:val="0"/>
              <w:widowControl w:val="0"/>
              <w:kinsoku/>
              <w:wordWrap/>
              <w:overflowPunct/>
              <w:topLinePunct w:val="0"/>
              <w:autoSpaceDE/>
              <w:autoSpaceDN/>
              <w:bidi w:val="0"/>
              <w:adjustRightInd/>
              <w:snapToGrid/>
              <w:ind w:firstLine="480" w:firstLineChars="200"/>
              <w:jc w:val="center"/>
              <w:textAlignment w:val="auto"/>
              <w:rPr>
                <w:rFonts w:hint="eastAsia" w:ascii="仿宋_GB2312" w:hAnsi="仿宋_GB2312" w:eastAsia="仿宋_GB2312" w:cs="仿宋_GB2312"/>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576" w:lineRule="exact"/>
        <w:ind w:left="0" w:leftChars="0"/>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rPr>
        <w:t>聊城</w:t>
      </w:r>
      <w:r>
        <w:rPr>
          <w:rFonts w:hint="eastAsia" w:ascii="方正小标宋简体" w:hAnsi="方正小标宋简体" w:eastAsia="方正小标宋简体" w:cs="方正小标宋简体"/>
          <w:b w:val="0"/>
          <w:bCs w:val="0"/>
          <w:sz w:val="44"/>
          <w:szCs w:val="44"/>
          <w:lang w:eastAsia="zh-CN"/>
        </w:rPr>
        <w:t>经济技术开发区</w:t>
      </w:r>
      <w:r>
        <w:rPr>
          <w:rFonts w:hint="eastAsia" w:ascii="方正小标宋简体" w:hAnsi="方正小标宋简体" w:eastAsia="方正小标宋简体" w:cs="方正小标宋简体"/>
          <w:b w:val="0"/>
          <w:bCs w:val="0"/>
          <w:sz w:val="44"/>
          <w:szCs w:val="44"/>
        </w:rPr>
        <w:t>药品安全事</w:t>
      </w:r>
      <w:r>
        <w:rPr>
          <w:rFonts w:hint="eastAsia" w:ascii="方正小标宋简体" w:hAnsi="方正小标宋简体" w:eastAsia="方正小标宋简体" w:cs="方正小标宋简体"/>
          <w:b w:val="0"/>
          <w:bCs w:val="0"/>
          <w:sz w:val="44"/>
          <w:szCs w:val="44"/>
          <w:lang w:eastAsia="zh-CN"/>
        </w:rPr>
        <w:t>件</w:t>
      </w:r>
    </w:p>
    <w:p>
      <w:pPr>
        <w:keepNext w:val="0"/>
        <w:keepLines w:val="0"/>
        <w:pageBreakBefore w:val="0"/>
        <w:widowControl w:val="0"/>
        <w:kinsoku/>
        <w:wordWrap/>
        <w:overflowPunct/>
        <w:topLinePunct w:val="0"/>
        <w:autoSpaceDE/>
        <w:autoSpaceDN/>
        <w:bidi w:val="0"/>
        <w:adjustRightInd/>
        <w:snapToGrid/>
        <w:spacing w:line="576" w:lineRule="exact"/>
        <w:ind w:left="0" w:leftChars="0"/>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应急预案</w:t>
      </w:r>
    </w:p>
    <w:p>
      <w:pPr>
        <w:keepNext w:val="0"/>
        <w:keepLines w:val="0"/>
        <w:pageBreakBefore w:val="0"/>
        <w:widowControl w:val="0"/>
        <w:kinsoku/>
        <w:wordWrap/>
        <w:overflowPunct/>
        <w:topLinePunct w:val="0"/>
        <w:autoSpaceDE/>
        <w:autoSpaceDN/>
        <w:bidi w:val="0"/>
        <w:adjustRightInd/>
        <w:snapToGrid/>
        <w:spacing w:line="576" w:lineRule="exact"/>
        <w:ind w:left="0" w:leftChars="0"/>
        <w:textAlignment w:val="auto"/>
        <w:rPr>
          <w:rFonts w:hint="eastAsia" w:ascii="方正小标宋简体" w:hAnsi="方正小标宋简体" w:eastAsia="方正小标宋简体" w:cs="方正小标宋简体"/>
          <w:b w:val="0"/>
          <w:bCs w:val="0"/>
          <w:sz w:val="44"/>
          <w:szCs w:val="44"/>
        </w:rPr>
      </w:pP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1</w:t>
      </w:r>
      <w:r>
        <w:rPr>
          <w:rFonts w:hint="eastAsia" w:ascii="黑体" w:hAnsi="黑体" w:eastAsia="黑体" w:cs="黑体"/>
          <w:sz w:val="32"/>
          <w:szCs w:val="32"/>
          <w:lang w:val="en-US" w:eastAsia="zh-CN"/>
        </w:rPr>
        <w:t>.</w:t>
      </w:r>
      <w:r>
        <w:rPr>
          <w:rFonts w:hint="eastAsia" w:ascii="黑体" w:hAnsi="黑体" w:eastAsia="黑体" w:cs="黑体"/>
          <w:sz w:val="32"/>
          <w:szCs w:val="32"/>
        </w:rPr>
        <w:t>总则</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1.1编制目的</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1.2编制依据</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1.3工作原则</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1.4适用范围</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1.5事件分级</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2</w:t>
      </w:r>
      <w:r>
        <w:rPr>
          <w:rFonts w:hint="eastAsia" w:ascii="黑体" w:hAnsi="黑体" w:eastAsia="黑体" w:cs="黑体"/>
          <w:sz w:val="32"/>
          <w:szCs w:val="32"/>
          <w:lang w:val="en-US" w:eastAsia="zh-CN"/>
        </w:rPr>
        <w:t>.</w:t>
      </w:r>
      <w:r>
        <w:rPr>
          <w:rFonts w:hint="eastAsia" w:ascii="黑体" w:hAnsi="黑体" w:eastAsia="黑体" w:cs="黑体"/>
          <w:sz w:val="32"/>
          <w:szCs w:val="32"/>
        </w:rPr>
        <w:t>组织指挥体系及职责分工</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县级组织指挥机构</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现场指挥机构</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3</w:t>
      </w:r>
      <w:r>
        <w:rPr>
          <w:rFonts w:hint="eastAsia" w:ascii="黑体" w:hAnsi="黑体" w:eastAsia="黑体" w:cs="黑体"/>
          <w:sz w:val="32"/>
          <w:szCs w:val="32"/>
          <w:lang w:val="en-US" w:eastAsia="zh-CN"/>
        </w:rPr>
        <w:t>.</w:t>
      </w:r>
      <w:r>
        <w:rPr>
          <w:rFonts w:hint="eastAsia" w:ascii="黑体" w:hAnsi="黑体" w:eastAsia="黑体" w:cs="黑体"/>
          <w:sz w:val="32"/>
          <w:szCs w:val="32"/>
        </w:rPr>
        <w:t>监测、报告、预警</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3.1监测</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3.2报告</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3.3预警</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4</w:t>
      </w:r>
      <w:r>
        <w:rPr>
          <w:rFonts w:hint="eastAsia" w:ascii="黑体" w:hAnsi="黑体" w:eastAsia="黑体" w:cs="黑体"/>
          <w:sz w:val="32"/>
          <w:szCs w:val="32"/>
          <w:lang w:val="en-US" w:eastAsia="zh-CN"/>
        </w:rPr>
        <w:t>.</w:t>
      </w:r>
      <w:r>
        <w:rPr>
          <w:rFonts w:hint="eastAsia" w:ascii="黑体" w:hAnsi="黑体" w:eastAsia="黑体" w:cs="黑体"/>
          <w:sz w:val="32"/>
          <w:szCs w:val="32"/>
        </w:rPr>
        <w:t>应急响应</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4.1应急响应分级</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4.2先期处置</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4.3Ⅰ级（特别重大）应急响应</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4.4Ⅱ级（重大）应急响应</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4.5Ⅲ级（较大）</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4.6</w:t>
      </w:r>
      <w:r>
        <w:rPr>
          <w:rFonts w:hint="eastAsia" w:ascii="仿宋_GB2312" w:hAnsi="仿宋_GB2312" w:eastAsia="仿宋_GB2312" w:cs="仿宋_GB2312"/>
          <w:sz w:val="32"/>
          <w:szCs w:val="32"/>
          <w:highlight w:val="none"/>
        </w:rPr>
        <w:t>Ⅳ级（一般）应急响应</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信息发布与舆论引导</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5</w:t>
      </w:r>
      <w:r>
        <w:rPr>
          <w:rFonts w:hint="eastAsia" w:ascii="黑体" w:hAnsi="黑体" w:eastAsia="黑体" w:cs="黑体"/>
          <w:sz w:val="32"/>
          <w:szCs w:val="32"/>
          <w:lang w:val="en-US" w:eastAsia="zh-CN"/>
        </w:rPr>
        <w:t>.</w:t>
      </w:r>
      <w:r>
        <w:rPr>
          <w:rFonts w:hint="eastAsia" w:ascii="黑体" w:hAnsi="黑体" w:eastAsia="黑体" w:cs="黑体"/>
          <w:sz w:val="32"/>
          <w:szCs w:val="32"/>
        </w:rPr>
        <w:t>善后与总结</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5.1后续处置</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5.2补偿和补助</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5.3总结评估</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6</w:t>
      </w:r>
      <w:r>
        <w:rPr>
          <w:rFonts w:hint="eastAsia" w:ascii="黑体" w:hAnsi="黑体" w:eastAsia="黑体" w:cs="黑体"/>
          <w:sz w:val="32"/>
          <w:szCs w:val="32"/>
          <w:lang w:val="en-US" w:eastAsia="zh-CN"/>
        </w:rPr>
        <w:t>.</w:t>
      </w:r>
      <w:r>
        <w:rPr>
          <w:rFonts w:hint="eastAsia" w:ascii="黑体" w:hAnsi="黑体" w:eastAsia="黑体" w:cs="黑体"/>
          <w:sz w:val="32"/>
          <w:szCs w:val="32"/>
        </w:rPr>
        <w:t>保障措施</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6.1组织保障</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6.2资金和物资保障</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6.3医疗保障</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6.4信息和技术保障</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6.5培训演练和社会动员</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7</w:t>
      </w:r>
      <w:r>
        <w:rPr>
          <w:rFonts w:hint="eastAsia" w:ascii="黑体" w:hAnsi="黑体" w:eastAsia="黑体" w:cs="黑体"/>
          <w:sz w:val="32"/>
          <w:szCs w:val="32"/>
          <w:lang w:val="en-US" w:eastAsia="zh-CN"/>
        </w:rPr>
        <w:t>.</w:t>
      </w:r>
      <w:r>
        <w:rPr>
          <w:rFonts w:hint="eastAsia" w:ascii="黑体" w:hAnsi="黑体" w:eastAsia="黑体" w:cs="黑体"/>
          <w:sz w:val="32"/>
          <w:szCs w:val="32"/>
        </w:rPr>
        <w:t>附则</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7.1预案管理</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7.2预案解释</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7.3预案实施</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 w:hAnsi="仿宋" w:eastAsia="仿宋" w:cs="仿宋"/>
          <w:sz w:val="32"/>
          <w:szCs w:val="32"/>
        </w:rPr>
      </w:pPr>
    </w:p>
    <w:p>
      <w:pPr>
        <w:pStyle w:val="2"/>
        <w:keepNext w:val="0"/>
        <w:keepLines w:val="0"/>
        <w:pageBreakBefore w:val="0"/>
        <w:widowControl w:val="0"/>
        <w:kinsoku/>
        <w:wordWrap/>
        <w:overflowPunct/>
        <w:topLinePunct w:val="0"/>
        <w:autoSpaceDE/>
        <w:autoSpaceDN/>
        <w:bidi w:val="0"/>
        <w:adjustRightInd/>
        <w:snapToGrid/>
        <w:spacing w:before="0" w:line="576" w:lineRule="exact"/>
        <w:ind w:left="0" w:leftChars="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left="0" w:leftChars="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1</w:t>
      </w:r>
      <w:r>
        <w:rPr>
          <w:rFonts w:hint="eastAsia" w:ascii="黑体" w:hAnsi="黑体" w:eastAsia="黑体" w:cs="黑体"/>
          <w:sz w:val="32"/>
          <w:szCs w:val="32"/>
          <w:lang w:val="en-US" w:eastAsia="zh-CN"/>
        </w:rPr>
        <w:t>.</w:t>
      </w:r>
      <w:r>
        <w:rPr>
          <w:rFonts w:hint="eastAsia" w:ascii="黑体" w:hAnsi="黑体" w:eastAsia="黑体" w:cs="黑体"/>
          <w:sz w:val="32"/>
          <w:szCs w:val="32"/>
        </w:rPr>
        <w:t>总则</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1.1编制目的</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指导和规范药品（含医疗器械，下同）安全事件的应急处置工作，有效预防、及时控制各类药品安全事件，最大程度地减少药品安全事件对公众健康和生命安全造成的危害。</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1.2编制依据</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依据《中华人民共和国突发事件应对法》《中华人民共和国药品管理法》《突发事件应急预案管理办法》《麻醉药品和精神药品管理条例》《医疗器械监督管理条例》《药品不良反应报告和监测管理办法》《药品召回管理办法》《医疗器械召回管理办法（试行）》《医疗器械不良事件监测和再评价管理办法》《山东省突发事件应对条例》《山东省突发事件总体应急预案》和原国家食品药品监督管理局《药品和医疗器械安全突发事件应急预案</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山东省药品安全事件应急预案</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聊城市人民政府突发公共事件总体应急预案</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聊城市人民政府办公室关于印发市政府处置突发事件工作流程及规范的通知》等法律法规规章和规范性文件等要求，制定本预案。</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1.3工作原则</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按照统一领导、分级负责，预防为主、防治结合，快速反应、协同应对，依法规范、科学处置的原则，开展药品安全事件应急处置工作。</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1.4适用范围</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本预案适用于</w:t>
      </w:r>
      <w:r>
        <w:rPr>
          <w:rFonts w:hint="eastAsia" w:ascii="仿宋_GB2312" w:hAnsi="仿宋_GB2312" w:eastAsia="仿宋_GB2312" w:cs="仿宋_GB2312"/>
          <w:sz w:val="32"/>
          <w:szCs w:val="32"/>
          <w:lang w:eastAsia="zh-CN"/>
        </w:rPr>
        <w:t>聊城经济技术开发区</w:t>
      </w:r>
      <w:r>
        <w:rPr>
          <w:rFonts w:hint="eastAsia" w:ascii="仿宋_GB2312" w:hAnsi="仿宋_GB2312" w:eastAsia="仿宋_GB2312" w:cs="仿宋_GB2312"/>
          <w:sz w:val="32"/>
          <w:szCs w:val="32"/>
        </w:rPr>
        <w:t>境内发生的药品安全事件应急处置工作。</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1.5事件分级</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本预案所称药品安全事件，是指突然发生，对社会公众健康造成或可能造成严重损害，需要采取应急处置措施予以应对的药品群体不良事件、重大药品质量事件，以及其他严重影响公众健康的药品安全事件。</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根据事件的危害程度和影响范围等因素，药品安全事件分为四级：Ⅰ级（特别重大）、Ⅱ级（重大）、Ⅲ级（较大）和Ⅳ级（一般）。</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2</w:t>
      </w:r>
      <w:r>
        <w:rPr>
          <w:rFonts w:hint="eastAsia" w:ascii="黑体" w:hAnsi="黑体" w:eastAsia="黑体" w:cs="黑体"/>
          <w:sz w:val="32"/>
          <w:szCs w:val="32"/>
          <w:lang w:val="en-US" w:eastAsia="zh-CN"/>
        </w:rPr>
        <w:t>.</w:t>
      </w:r>
      <w:r>
        <w:rPr>
          <w:rFonts w:hint="eastAsia" w:ascii="黑体" w:hAnsi="黑体" w:eastAsia="黑体" w:cs="黑体"/>
          <w:sz w:val="32"/>
          <w:szCs w:val="32"/>
        </w:rPr>
        <w:t>组织指挥体系及职责分工</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2.1</w:t>
      </w:r>
      <w:r>
        <w:rPr>
          <w:rFonts w:hint="eastAsia" w:ascii="楷体_GB2312" w:hAnsi="楷体_GB2312" w:eastAsia="楷体_GB2312" w:cs="楷体_GB2312"/>
          <w:sz w:val="32"/>
          <w:szCs w:val="32"/>
          <w:lang w:eastAsia="zh-CN"/>
        </w:rPr>
        <w:t>区</w:t>
      </w:r>
      <w:r>
        <w:rPr>
          <w:rFonts w:hint="eastAsia" w:ascii="楷体_GB2312" w:hAnsi="楷体_GB2312" w:eastAsia="楷体_GB2312" w:cs="楷体_GB2312"/>
          <w:sz w:val="32"/>
          <w:szCs w:val="32"/>
        </w:rPr>
        <w:t>级应急指挥机构</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开发区管委会</w:t>
      </w:r>
      <w:r>
        <w:rPr>
          <w:rFonts w:hint="eastAsia" w:ascii="仿宋_GB2312" w:hAnsi="仿宋_GB2312" w:eastAsia="仿宋_GB2312" w:cs="仿宋_GB2312"/>
          <w:sz w:val="32"/>
          <w:szCs w:val="32"/>
        </w:rPr>
        <w:t>负责全</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较大药品安全事件应急处置。根据实际需要，可依法设立</w:t>
      </w:r>
      <w:r>
        <w:rPr>
          <w:rFonts w:hint="eastAsia" w:ascii="仿宋_GB2312" w:hAnsi="仿宋_GB2312" w:eastAsia="仿宋_GB2312" w:cs="仿宋_GB2312"/>
          <w:sz w:val="32"/>
          <w:szCs w:val="32"/>
          <w:lang w:eastAsia="zh-CN"/>
        </w:rPr>
        <w:t>一般</w:t>
      </w:r>
      <w:r>
        <w:rPr>
          <w:rFonts w:hint="eastAsia" w:ascii="仿宋_GB2312" w:hAnsi="仿宋_GB2312" w:eastAsia="仿宋_GB2312" w:cs="仿宋_GB2312"/>
          <w:sz w:val="32"/>
          <w:szCs w:val="32"/>
        </w:rPr>
        <w:t>药品安全事件应急处置指挥部（以下简称</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指挥部），由</w:t>
      </w:r>
      <w:r>
        <w:rPr>
          <w:rFonts w:hint="eastAsia" w:ascii="仿宋_GB2312" w:hAnsi="仿宋_GB2312" w:eastAsia="仿宋_GB2312" w:cs="仿宋_GB2312"/>
          <w:sz w:val="32"/>
          <w:szCs w:val="32"/>
          <w:lang w:eastAsia="zh-CN"/>
        </w:rPr>
        <w:t>管委会</w:t>
      </w:r>
      <w:r>
        <w:rPr>
          <w:rFonts w:hint="eastAsia" w:ascii="仿宋_GB2312" w:hAnsi="仿宋_GB2312" w:eastAsia="仿宋_GB2312" w:cs="仿宋_GB2312"/>
          <w:sz w:val="32"/>
          <w:szCs w:val="32"/>
        </w:rPr>
        <w:t>分管</w:t>
      </w:r>
      <w:r>
        <w:rPr>
          <w:rFonts w:hint="eastAsia" w:ascii="仿宋_GB2312" w:hAnsi="仿宋_GB2312" w:eastAsia="仿宋_GB2312" w:cs="仿宋_GB2312"/>
          <w:sz w:val="32"/>
          <w:szCs w:val="32"/>
          <w:lang w:eastAsia="zh-CN"/>
        </w:rPr>
        <w:t>副主任</w:t>
      </w:r>
      <w:r>
        <w:rPr>
          <w:rFonts w:hint="eastAsia" w:ascii="仿宋_GB2312" w:hAnsi="仿宋_GB2312" w:eastAsia="仿宋_GB2312" w:cs="仿宋_GB2312"/>
          <w:sz w:val="32"/>
          <w:szCs w:val="32"/>
        </w:rPr>
        <w:t>担任指挥长，市场监管</w:t>
      </w:r>
      <w:r>
        <w:rPr>
          <w:rFonts w:hint="eastAsia" w:ascii="仿宋_GB2312" w:hAnsi="仿宋_GB2312" w:eastAsia="仿宋_GB2312" w:cs="仿宋_GB2312"/>
          <w:sz w:val="32"/>
          <w:szCs w:val="32"/>
          <w:lang w:eastAsia="zh-CN"/>
        </w:rPr>
        <w:t>部</w:t>
      </w:r>
      <w:r>
        <w:rPr>
          <w:rFonts w:hint="eastAsia" w:ascii="仿宋_GB2312" w:hAnsi="仿宋_GB2312" w:eastAsia="仿宋_GB2312" w:cs="仿宋_GB2312"/>
          <w:sz w:val="32"/>
          <w:szCs w:val="32"/>
        </w:rPr>
        <w:t>主要负责人任副指挥长，负责领导、指挥和协调</w:t>
      </w:r>
      <w:r>
        <w:rPr>
          <w:rFonts w:hint="eastAsia" w:ascii="仿宋_GB2312" w:hAnsi="仿宋_GB2312" w:eastAsia="仿宋_GB2312" w:cs="仿宋_GB2312"/>
          <w:sz w:val="32"/>
          <w:szCs w:val="32"/>
          <w:lang w:eastAsia="zh-CN"/>
        </w:rPr>
        <w:t>全区</w:t>
      </w:r>
      <w:r>
        <w:rPr>
          <w:rFonts w:hint="eastAsia" w:ascii="仿宋_GB2312" w:hAnsi="仿宋_GB2312" w:eastAsia="仿宋_GB2312" w:cs="仿宋_GB2312"/>
          <w:sz w:val="32"/>
          <w:szCs w:val="32"/>
        </w:rPr>
        <w:t>内Ⅰ级（特别重大）、Ⅱ级（重大）、Ⅲ级（较大）和Ⅳ级（一般）药品安全事件的应急处置工作。必要时，派出工作组指导相关工作。设立</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指挥部办公室，办公室设在市场监管</w:t>
      </w:r>
      <w:r>
        <w:rPr>
          <w:rFonts w:hint="eastAsia" w:ascii="仿宋_GB2312" w:hAnsi="仿宋_GB2312" w:eastAsia="仿宋_GB2312" w:cs="仿宋_GB2312"/>
          <w:sz w:val="32"/>
          <w:szCs w:val="32"/>
          <w:lang w:eastAsia="zh-CN"/>
        </w:rPr>
        <w:t>部</w:t>
      </w:r>
      <w:r>
        <w:rPr>
          <w:rFonts w:hint="eastAsia" w:ascii="仿宋_GB2312" w:hAnsi="仿宋_GB2312" w:eastAsia="仿宋_GB2312" w:cs="仿宋_GB2312"/>
          <w:sz w:val="32"/>
          <w:szCs w:val="32"/>
        </w:rPr>
        <w:t>，办公室成员由市场监管</w:t>
      </w:r>
      <w:r>
        <w:rPr>
          <w:rFonts w:hint="eastAsia" w:ascii="仿宋_GB2312" w:hAnsi="仿宋_GB2312" w:eastAsia="仿宋_GB2312" w:cs="仿宋_GB2312"/>
          <w:sz w:val="32"/>
          <w:szCs w:val="32"/>
          <w:lang w:eastAsia="zh-CN"/>
        </w:rPr>
        <w:t>部</w:t>
      </w:r>
      <w:r>
        <w:rPr>
          <w:rFonts w:hint="eastAsia" w:ascii="仿宋_GB2312" w:hAnsi="仿宋_GB2312" w:eastAsia="仿宋_GB2312" w:cs="仿宋_GB2312"/>
          <w:sz w:val="32"/>
          <w:szCs w:val="32"/>
        </w:rPr>
        <w:t>主要负责同志及有关部门分管负责同志担任，负责全</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药品安全事件处置的日常工作（详见附件2）。</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2.1.1</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指挥部办公室职责如下：</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（1）负责贯彻落实市指挥部的各项部署，组织实施应急处置工作。</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（2）检查督促相关</w:t>
      </w:r>
      <w:r>
        <w:rPr>
          <w:rFonts w:hint="eastAsia" w:ascii="仿宋_GB2312" w:hAnsi="仿宋_GB2312" w:eastAsia="仿宋_GB2312" w:cs="仿宋_GB2312"/>
          <w:sz w:val="32"/>
          <w:szCs w:val="32"/>
          <w:lang w:eastAsia="zh-CN"/>
        </w:rPr>
        <w:t>办事处</w:t>
      </w:r>
      <w:r>
        <w:rPr>
          <w:rFonts w:hint="eastAsia" w:ascii="仿宋_GB2312" w:hAnsi="仿宋_GB2312" w:eastAsia="仿宋_GB2312" w:cs="仿宋_GB2312"/>
          <w:sz w:val="32"/>
          <w:szCs w:val="32"/>
        </w:rPr>
        <w:t>和部门做好各项应急处置工作。</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（3）向</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指挥部及时报告有关情况，与</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有关部门、单位交流信息。</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（4）建立会商、发文、信息发布和督查等制度，协调宣传报道、信息发布和舆情处置工作。</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（5）组织协调人员培训、物资储备、后勤保障、社会动员等相关工作。</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（6）完成</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指挥部安排的其他任务。</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2.</w:t>
      </w:r>
      <w:r>
        <w:rPr>
          <w:rFonts w:hint="eastAsia" w:ascii="楷体_GB2312" w:hAnsi="楷体_GB2312" w:eastAsia="楷体_GB2312" w:cs="楷体_GB2312"/>
          <w:sz w:val="32"/>
          <w:szCs w:val="32"/>
          <w:lang w:val="en-US" w:eastAsia="zh-CN"/>
        </w:rPr>
        <w:t>2</w:t>
      </w:r>
      <w:r>
        <w:rPr>
          <w:rFonts w:hint="eastAsia" w:ascii="楷体_GB2312" w:hAnsi="楷体_GB2312" w:eastAsia="楷体_GB2312" w:cs="楷体_GB2312"/>
          <w:sz w:val="32"/>
          <w:szCs w:val="32"/>
        </w:rPr>
        <w:t>现场指挥机构</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事件发生地</w:t>
      </w:r>
      <w:r>
        <w:rPr>
          <w:rFonts w:hint="eastAsia" w:ascii="仿宋_GB2312" w:hAnsi="仿宋_GB2312" w:eastAsia="仿宋_GB2312" w:cs="仿宋_GB2312"/>
          <w:sz w:val="32"/>
          <w:szCs w:val="32"/>
          <w:lang w:eastAsia="zh-CN"/>
        </w:rPr>
        <w:t>办事处</w:t>
      </w:r>
      <w:r>
        <w:rPr>
          <w:rFonts w:hint="eastAsia" w:ascii="仿宋_GB2312" w:hAnsi="仿宋_GB2312" w:eastAsia="仿宋_GB2312" w:cs="仿宋_GB2312"/>
          <w:sz w:val="32"/>
          <w:szCs w:val="32"/>
        </w:rPr>
        <w:t>成立现场应急指挥机构，在</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指挥部或工作组的指挥或指导下，负责现场的应急处置工作。必要时，根据事件性质和应急处置工作需要，由</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指挥部成立现场指挥部，设立相应工作组。各工作组组成及职责分工如下：</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（1）综合协调组：</w:t>
      </w:r>
      <w:r>
        <w:rPr>
          <w:rFonts w:hint="eastAsia" w:ascii="仿宋_GB2312" w:hAnsi="仿宋_GB2312" w:eastAsia="仿宋_GB2312" w:cs="仿宋_GB2312"/>
          <w:color w:val="auto"/>
          <w:sz w:val="32"/>
          <w:szCs w:val="32"/>
        </w:rPr>
        <w:t>由</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市场监管</w:t>
      </w:r>
      <w:r>
        <w:rPr>
          <w:rFonts w:hint="eastAsia" w:ascii="仿宋_GB2312" w:hAnsi="仿宋_GB2312" w:eastAsia="仿宋_GB2312" w:cs="仿宋_GB2312"/>
          <w:color w:val="auto"/>
          <w:sz w:val="32"/>
          <w:szCs w:val="32"/>
          <w:lang w:eastAsia="zh-CN"/>
        </w:rPr>
        <w:t>部</w:t>
      </w:r>
      <w:r>
        <w:rPr>
          <w:rFonts w:hint="eastAsia" w:ascii="仿宋_GB2312" w:hAnsi="仿宋_GB2312" w:eastAsia="仿宋_GB2312" w:cs="仿宋_GB2312"/>
          <w:color w:val="auto"/>
          <w:sz w:val="32"/>
          <w:szCs w:val="32"/>
        </w:rPr>
        <w:t>牵头，</w:t>
      </w:r>
      <w:r>
        <w:rPr>
          <w:rFonts w:hint="eastAsia" w:ascii="仿宋_GB2312" w:hAnsi="仿宋_GB2312" w:eastAsia="仿宋_GB2312" w:cs="仿宋_GB2312"/>
          <w:color w:val="auto"/>
          <w:sz w:val="32"/>
          <w:szCs w:val="32"/>
          <w:lang w:val="en-US" w:eastAsia="zh-CN"/>
        </w:rPr>
        <w:t>区管委会</w:t>
      </w:r>
      <w:r>
        <w:rPr>
          <w:rFonts w:hint="eastAsia" w:ascii="仿宋_GB2312" w:hAnsi="仿宋_GB2312" w:eastAsia="仿宋_GB2312" w:cs="仿宋_GB2312"/>
          <w:color w:val="auto"/>
          <w:sz w:val="32"/>
          <w:szCs w:val="32"/>
          <w:lang w:eastAsia="zh-CN"/>
        </w:rPr>
        <w:t>办公室、</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lang w:eastAsia="zh-CN"/>
        </w:rPr>
        <w:t>经济发展部</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lang w:eastAsia="zh-CN"/>
        </w:rPr>
        <w:t>教体分局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lang w:eastAsia="zh-CN"/>
        </w:rPr>
        <w:t>财政金融部</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lang w:eastAsia="zh-CN"/>
        </w:rPr>
        <w:t>党群工作部</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lang w:eastAsia="zh-CN"/>
        </w:rPr>
        <w:t>建设管理部</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商务</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投资促进</w:t>
      </w:r>
      <w:r>
        <w:rPr>
          <w:rFonts w:hint="eastAsia" w:ascii="仿宋_GB2312" w:hAnsi="仿宋_GB2312" w:eastAsia="仿宋_GB2312" w:cs="仿宋_GB2312"/>
          <w:color w:val="auto"/>
          <w:sz w:val="32"/>
          <w:szCs w:val="32"/>
          <w:lang w:eastAsia="zh-CN"/>
        </w:rPr>
        <w:t>部</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lang w:eastAsia="zh-CN"/>
        </w:rPr>
        <w:t>卫健管理办公室</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t>应急</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管理处</w:t>
      </w:r>
      <w:r>
        <w:rPr>
          <w:rFonts w:hint="eastAsia" w:ascii="仿宋_GB2312" w:hAnsi="仿宋_GB2312" w:eastAsia="仿宋_GB2312" w:cs="仿宋_GB2312"/>
          <w:sz w:val="32"/>
          <w:szCs w:val="32"/>
        </w:rPr>
        <w:t>等部门参加，负责应急工作的综合协调、信息汇总报送，以及应急处置会议组织和相关公文处理等工作；组织做好应急救援物资的紧急生产、储备调拨和紧急配送工作；其他应急保障工作。</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（2）医疗救治组：</w:t>
      </w:r>
      <w:r>
        <w:rPr>
          <w:rFonts w:hint="eastAsia" w:ascii="仿宋_GB2312" w:hAnsi="仿宋_GB2312" w:eastAsia="仿宋_GB2312" w:cs="仿宋_GB2312"/>
          <w:color w:val="auto"/>
          <w:sz w:val="32"/>
          <w:szCs w:val="32"/>
        </w:rPr>
        <w:t>由</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color w:val="auto"/>
          <w:sz w:val="32"/>
          <w:szCs w:val="32"/>
          <w:lang w:eastAsia="zh-CN"/>
        </w:rPr>
        <w:t>卫健管理办公室</w:t>
      </w:r>
      <w:r>
        <w:rPr>
          <w:rFonts w:hint="eastAsia" w:ascii="仿宋_GB2312" w:hAnsi="仿宋_GB2312" w:eastAsia="仿宋_GB2312" w:cs="仿宋_GB2312"/>
          <w:sz w:val="32"/>
          <w:szCs w:val="32"/>
        </w:rPr>
        <w:t>牵头，</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市场监管</w:t>
      </w:r>
      <w:r>
        <w:rPr>
          <w:rFonts w:hint="eastAsia" w:ascii="仿宋_GB2312" w:hAnsi="仿宋_GB2312" w:eastAsia="仿宋_GB2312" w:cs="仿宋_GB2312"/>
          <w:sz w:val="32"/>
          <w:szCs w:val="32"/>
          <w:lang w:eastAsia="zh-CN"/>
        </w:rPr>
        <w:t>部</w:t>
      </w:r>
      <w:r>
        <w:rPr>
          <w:rFonts w:hint="eastAsia" w:ascii="仿宋_GB2312" w:hAnsi="仿宋_GB2312" w:eastAsia="仿宋_GB2312" w:cs="仿宋_GB2312"/>
          <w:sz w:val="32"/>
          <w:szCs w:val="32"/>
        </w:rPr>
        <w:t>等参加。负责组织做好紧急医疗救治工作，提出保护公众健康的措施建议。</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（3）事件调查组：由</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市场监管</w:t>
      </w:r>
      <w:r>
        <w:rPr>
          <w:rFonts w:hint="eastAsia" w:ascii="仿宋_GB2312" w:hAnsi="仿宋_GB2312" w:eastAsia="仿宋_GB2312" w:cs="仿宋_GB2312"/>
          <w:sz w:val="32"/>
          <w:szCs w:val="32"/>
          <w:lang w:eastAsia="zh-CN"/>
        </w:rPr>
        <w:t>部</w:t>
      </w:r>
      <w:r>
        <w:rPr>
          <w:rFonts w:hint="eastAsia" w:ascii="仿宋_GB2312" w:hAnsi="仿宋_GB2312" w:eastAsia="仿宋_GB2312" w:cs="仿宋_GB2312"/>
          <w:sz w:val="32"/>
          <w:szCs w:val="32"/>
        </w:rPr>
        <w:t>牵头，</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公安</w:t>
      </w:r>
      <w:r>
        <w:rPr>
          <w:rFonts w:hint="eastAsia" w:ascii="仿宋_GB2312" w:hAnsi="仿宋_GB2312" w:eastAsia="仿宋_GB2312" w:cs="仿宋_GB2312"/>
          <w:sz w:val="32"/>
          <w:szCs w:val="32"/>
          <w:lang w:eastAsia="zh-CN"/>
        </w:rPr>
        <w:t>分</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lang w:eastAsia="zh-CN"/>
        </w:rPr>
        <w:t>农业农村分局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color w:val="auto"/>
          <w:sz w:val="32"/>
          <w:szCs w:val="32"/>
          <w:lang w:eastAsia="zh-CN"/>
        </w:rPr>
        <w:t>卫健管理办公室</w:t>
      </w:r>
      <w:r>
        <w:rPr>
          <w:rFonts w:hint="eastAsia" w:ascii="仿宋_GB2312" w:hAnsi="仿宋_GB2312" w:eastAsia="仿宋_GB2312" w:cs="仿宋_GB2312"/>
          <w:sz w:val="32"/>
          <w:szCs w:val="32"/>
        </w:rPr>
        <w:t>等参加。负责事件原因调查，提出调查结论和处理建议。</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（4）危害控制组：</w:t>
      </w:r>
      <w:r>
        <w:rPr>
          <w:rFonts w:hint="eastAsia" w:ascii="仿宋_GB2312" w:hAnsi="仿宋_GB2312" w:eastAsia="仿宋_GB2312" w:cs="仿宋_GB2312"/>
          <w:color w:val="auto"/>
          <w:sz w:val="32"/>
          <w:szCs w:val="32"/>
        </w:rPr>
        <w:t>由</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市场监管</w:t>
      </w:r>
      <w:r>
        <w:rPr>
          <w:rFonts w:hint="eastAsia" w:ascii="仿宋_GB2312" w:hAnsi="仿宋_GB2312" w:eastAsia="仿宋_GB2312" w:cs="仿宋_GB2312"/>
          <w:color w:val="auto"/>
          <w:sz w:val="32"/>
          <w:szCs w:val="32"/>
          <w:lang w:eastAsia="zh-CN"/>
        </w:rPr>
        <w:t>部</w:t>
      </w:r>
      <w:r>
        <w:rPr>
          <w:rFonts w:hint="eastAsia" w:ascii="仿宋_GB2312" w:hAnsi="仿宋_GB2312" w:eastAsia="仿宋_GB2312" w:cs="仿宋_GB2312"/>
          <w:color w:val="auto"/>
          <w:sz w:val="32"/>
          <w:szCs w:val="32"/>
        </w:rPr>
        <w:t>牵头，</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生态环境</w:t>
      </w:r>
      <w:r>
        <w:rPr>
          <w:rFonts w:hint="eastAsia" w:ascii="仿宋_GB2312" w:hAnsi="仿宋_GB2312" w:eastAsia="仿宋_GB2312" w:cs="仿宋_GB2312"/>
          <w:color w:val="auto"/>
          <w:sz w:val="32"/>
          <w:szCs w:val="32"/>
          <w:lang w:val="en-US" w:eastAsia="zh-CN"/>
        </w:rPr>
        <w:t>分</w:t>
      </w:r>
      <w:r>
        <w:rPr>
          <w:rFonts w:hint="eastAsia" w:ascii="仿宋_GB2312" w:hAnsi="仿宋_GB2312" w:eastAsia="仿宋_GB2312" w:cs="仿宋_GB2312"/>
          <w:color w:val="auto"/>
          <w:sz w:val="32"/>
          <w:szCs w:val="32"/>
        </w:rPr>
        <w:t>局、</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农业农</w:t>
      </w:r>
      <w:r>
        <w:rPr>
          <w:rFonts w:hint="eastAsia" w:ascii="仿宋_GB2312" w:hAnsi="仿宋_GB2312" w:eastAsia="仿宋_GB2312" w:cs="仿宋_GB2312"/>
          <w:color w:val="auto"/>
          <w:sz w:val="32"/>
          <w:szCs w:val="32"/>
          <w:lang w:val="en-US" w:eastAsia="zh-CN"/>
        </w:rPr>
        <w:t>村分局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lang w:eastAsia="zh-CN"/>
        </w:rPr>
        <w:t>卫健管理办公室、</w:t>
      </w:r>
      <w:r>
        <w:rPr>
          <w:rFonts w:hint="eastAsia" w:ascii="仿宋_GB2312" w:hAnsi="仿宋_GB2312" w:eastAsia="仿宋_GB2312" w:cs="仿宋_GB2312"/>
          <w:color w:val="auto"/>
          <w:sz w:val="32"/>
          <w:szCs w:val="32"/>
          <w:highlight w:val="none"/>
          <w:lang w:val="en-US" w:eastAsia="zh-CN"/>
        </w:rPr>
        <w:t>区应急管理处</w:t>
      </w:r>
      <w:r>
        <w:rPr>
          <w:rFonts w:hint="eastAsia" w:ascii="仿宋_GB2312" w:hAnsi="仿宋_GB2312" w:eastAsia="仿宋_GB2312" w:cs="仿宋_GB2312"/>
          <w:color w:val="auto"/>
          <w:sz w:val="32"/>
          <w:szCs w:val="32"/>
        </w:rPr>
        <w:t>等参加。</w:t>
      </w:r>
      <w:r>
        <w:rPr>
          <w:rFonts w:hint="eastAsia" w:ascii="仿宋_GB2312" w:hAnsi="仿宋_GB2312" w:eastAsia="仿宋_GB2312" w:cs="仿宋_GB2312"/>
          <w:sz w:val="32"/>
          <w:szCs w:val="32"/>
        </w:rPr>
        <w:t>负责对相关产品采取紧急控制措施，并依法作出行政处理决定；做好相关危害控制工作。</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（5）新闻宣传组</w:t>
      </w:r>
      <w:r>
        <w:rPr>
          <w:rFonts w:hint="eastAsia" w:ascii="仿宋_GB2312" w:hAnsi="仿宋_GB2312" w:eastAsia="仿宋_GB2312" w:cs="仿宋_GB2312"/>
          <w:color w:val="auto"/>
          <w:sz w:val="32"/>
          <w:szCs w:val="32"/>
        </w:rPr>
        <w:t>：由</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lang w:eastAsia="zh-CN"/>
        </w:rPr>
        <w:t>宣传办</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市场监管</w:t>
      </w:r>
      <w:r>
        <w:rPr>
          <w:rFonts w:hint="eastAsia" w:ascii="仿宋_GB2312" w:hAnsi="仿宋_GB2312" w:eastAsia="仿宋_GB2312" w:cs="仿宋_GB2312"/>
          <w:color w:val="auto"/>
          <w:sz w:val="32"/>
          <w:szCs w:val="32"/>
          <w:lang w:eastAsia="zh-CN"/>
        </w:rPr>
        <w:t>部</w:t>
      </w:r>
      <w:r>
        <w:rPr>
          <w:rFonts w:hint="eastAsia" w:ascii="仿宋_GB2312" w:hAnsi="仿宋_GB2312" w:eastAsia="仿宋_GB2312" w:cs="仿宋_GB2312"/>
          <w:color w:val="auto"/>
          <w:sz w:val="32"/>
          <w:szCs w:val="32"/>
        </w:rPr>
        <w:t>牵头，</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lang w:eastAsia="zh-CN"/>
        </w:rPr>
        <w:t>管委会办公室</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lang w:eastAsia="zh-CN"/>
        </w:rPr>
        <w:t>卫健管理办公室</w:t>
      </w:r>
      <w:r>
        <w:rPr>
          <w:rFonts w:hint="eastAsia" w:ascii="仿宋_GB2312" w:hAnsi="仿宋_GB2312" w:eastAsia="仿宋_GB2312" w:cs="仿宋_GB2312"/>
          <w:color w:val="auto"/>
          <w:sz w:val="32"/>
          <w:szCs w:val="32"/>
        </w:rPr>
        <w:t>等参加。负</w:t>
      </w:r>
      <w:r>
        <w:rPr>
          <w:rFonts w:hint="eastAsia" w:ascii="仿宋_GB2312" w:hAnsi="仿宋_GB2312" w:eastAsia="仿宋_GB2312" w:cs="仿宋_GB2312"/>
          <w:sz w:val="32"/>
          <w:szCs w:val="32"/>
        </w:rPr>
        <w:t>责指导开展事件进展、应急处置工作情况等权威信息发布，加强新闻宣传报道；采取多种形式，做好药品安全知识科普；收集相关舆情信息，及时澄清不实信息，开展舆情处置和舆论引导。</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（6）专家技术组：</w:t>
      </w:r>
      <w:r>
        <w:rPr>
          <w:rFonts w:hint="eastAsia" w:ascii="仿宋_GB2312" w:hAnsi="仿宋_GB2312" w:eastAsia="仿宋_GB2312" w:cs="仿宋_GB2312"/>
          <w:color w:val="auto"/>
          <w:sz w:val="32"/>
          <w:szCs w:val="32"/>
        </w:rPr>
        <w:t>由</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市场监管</w:t>
      </w:r>
      <w:r>
        <w:rPr>
          <w:rFonts w:hint="eastAsia" w:ascii="仿宋_GB2312" w:hAnsi="仿宋_GB2312" w:eastAsia="仿宋_GB2312" w:cs="仿宋_GB2312"/>
          <w:color w:val="auto"/>
          <w:sz w:val="32"/>
          <w:szCs w:val="32"/>
          <w:lang w:eastAsia="zh-CN"/>
        </w:rPr>
        <w:t>部</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lang w:eastAsia="zh-CN"/>
        </w:rPr>
        <w:t>卫健管理办公室</w:t>
      </w:r>
      <w:r>
        <w:rPr>
          <w:rFonts w:hint="eastAsia" w:ascii="仿宋_GB2312" w:hAnsi="仿宋_GB2312" w:eastAsia="仿宋_GB2312" w:cs="仿宋_GB2312"/>
          <w:sz w:val="32"/>
          <w:szCs w:val="32"/>
        </w:rPr>
        <w:t>负责药品安全事件应急处置工作的咨询指导和技术支撑，组织药品安全、公共卫生以及舆情领域相关专家参与事件调查处置，向</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指挥部提出处置意见和建议，为应急决策提供参考。</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（7）社会稳定组：</w:t>
      </w:r>
      <w:r>
        <w:rPr>
          <w:rFonts w:hint="eastAsia" w:ascii="仿宋_GB2312" w:hAnsi="仿宋_GB2312" w:eastAsia="仿宋_GB2312" w:cs="仿宋_GB2312"/>
          <w:color w:val="auto"/>
          <w:sz w:val="32"/>
          <w:szCs w:val="32"/>
        </w:rPr>
        <w:t>由</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公安</w:t>
      </w:r>
      <w:r>
        <w:rPr>
          <w:rFonts w:hint="eastAsia" w:ascii="仿宋_GB2312" w:hAnsi="仿宋_GB2312" w:eastAsia="仿宋_GB2312" w:cs="仿宋_GB2312"/>
          <w:color w:val="auto"/>
          <w:sz w:val="32"/>
          <w:szCs w:val="32"/>
          <w:lang w:eastAsia="zh-CN"/>
        </w:rPr>
        <w:t>分</w:t>
      </w:r>
      <w:r>
        <w:rPr>
          <w:rFonts w:hint="eastAsia" w:ascii="仿宋_GB2312" w:hAnsi="仿宋_GB2312" w:eastAsia="仿宋_GB2312" w:cs="仿宋_GB2312"/>
          <w:color w:val="auto"/>
          <w:sz w:val="32"/>
          <w:szCs w:val="32"/>
        </w:rPr>
        <w:t>局牵头，</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lang w:eastAsia="zh-CN"/>
        </w:rPr>
        <w:t>经济发展部</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lang w:eastAsia="zh-CN"/>
        </w:rPr>
        <w:t>卫健管理办公室</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市场监管</w:t>
      </w:r>
      <w:r>
        <w:rPr>
          <w:rFonts w:hint="eastAsia" w:ascii="仿宋_GB2312" w:hAnsi="仿宋_GB2312" w:eastAsia="仿宋_GB2312" w:cs="仿宋_GB2312"/>
          <w:color w:val="auto"/>
          <w:sz w:val="32"/>
          <w:szCs w:val="32"/>
          <w:lang w:eastAsia="zh-CN"/>
        </w:rPr>
        <w:t>部</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lang w:eastAsia="zh-CN"/>
        </w:rPr>
        <w:t>政法维稳处</w:t>
      </w:r>
      <w:r>
        <w:rPr>
          <w:rFonts w:hint="eastAsia" w:ascii="仿宋_GB2312" w:hAnsi="仿宋_GB2312" w:eastAsia="仿宋_GB2312" w:cs="仿宋_GB2312"/>
          <w:color w:val="auto"/>
          <w:sz w:val="32"/>
          <w:szCs w:val="32"/>
        </w:rPr>
        <w:t>等参加。</w:t>
      </w:r>
      <w:r>
        <w:rPr>
          <w:rFonts w:hint="eastAsia" w:ascii="仿宋_GB2312" w:hAnsi="仿宋_GB2312" w:eastAsia="仿宋_GB2312" w:cs="仿宋_GB2312"/>
          <w:sz w:val="32"/>
          <w:szCs w:val="32"/>
        </w:rPr>
        <w:t>负责加强社会治安管理，严厉打击借机传播谣言制造社会恐慌、哄抢物资等违法犯罪行为；加强应急物资存放点等重点地区治安管控；做好相关矛盾纠纷化解和法律服务工作，防止出现群体性事件，维护社会稳定；打击囤积居奇、哄抬物价行为。</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工作组设置、组成和职责可根据工作需要适时</w:t>
      </w:r>
      <w:r>
        <w:rPr>
          <w:rFonts w:hint="eastAsia" w:ascii="仿宋_GB2312" w:hAnsi="仿宋_GB2312" w:eastAsia="仿宋_GB2312" w:cs="仿宋_GB2312"/>
          <w:sz w:val="32"/>
          <w:szCs w:val="32"/>
          <w:lang w:eastAsia="zh-CN"/>
        </w:rPr>
        <w:t>做出</w:t>
      </w:r>
      <w:r>
        <w:rPr>
          <w:rFonts w:hint="eastAsia" w:ascii="仿宋_GB2312" w:hAnsi="仿宋_GB2312" w:eastAsia="仿宋_GB2312" w:cs="仿宋_GB2312"/>
          <w:sz w:val="32"/>
          <w:szCs w:val="32"/>
        </w:rPr>
        <w:t>调整，必要时可吸收事件发生地政府及部门有关人员参加。</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3</w:t>
      </w:r>
      <w:r>
        <w:rPr>
          <w:rFonts w:hint="eastAsia" w:ascii="黑体" w:hAnsi="黑体" w:eastAsia="黑体" w:cs="黑体"/>
          <w:sz w:val="32"/>
          <w:szCs w:val="32"/>
          <w:lang w:val="en-US" w:eastAsia="zh-CN"/>
        </w:rPr>
        <w:t>.</w:t>
      </w:r>
      <w:r>
        <w:rPr>
          <w:rFonts w:hint="eastAsia" w:ascii="黑体" w:hAnsi="黑体" w:eastAsia="黑体" w:cs="黑体"/>
          <w:sz w:val="32"/>
          <w:szCs w:val="32"/>
        </w:rPr>
        <w:t>监测、报告、预警</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市场监管部建立健全药品安全事件监测、预警与报告制度，积极开展风险分析和评估，做到早发现、早报告、早预警、早处置。</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3.1监测</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利用国家药品不良反应（含医疗器械不良事件、药物滥用，下同）监测系统等手段，加强对重点品种、重点环节，尤其是高风险品种质量安全的监测。</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场监管部负责本行政区域内的药品安全监测工作，通过日常监管系统、检验检测系统、药品不良反应监测系统、投诉举报系统以及舆情监测等，搜集汇总药品安全信息和事件信息，监测潜在的药品安全事件信息。</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根据需要，各类药品安全事件的监测信息在相关部门之间实现共享。</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3.2报告</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3.2.1报告责任主体</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（1）药品</w:t>
      </w:r>
      <w:r>
        <w:rPr>
          <w:rFonts w:hint="eastAsia" w:ascii="仿宋_GB2312" w:hAnsi="仿宋_GB2312" w:eastAsia="仿宋_GB2312" w:cs="仿宋_GB2312"/>
          <w:sz w:val="32"/>
          <w:szCs w:val="32"/>
          <w:lang w:eastAsia="zh-CN"/>
        </w:rPr>
        <w:t>零售</w:t>
      </w:r>
      <w:r>
        <w:rPr>
          <w:rFonts w:hint="eastAsia" w:ascii="仿宋_GB2312" w:hAnsi="仿宋_GB2312" w:eastAsia="仿宋_GB2312" w:cs="仿宋_GB2312"/>
          <w:sz w:val="32"/>
          <w:szCs w:val="32"/>
        </w:rPr>
        <w:t>企业；</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（2）医疗卫生机构，疾病预防控制机构等；</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（3）药品不良反应监测机构；</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（4）市场监督管理部门；</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（5）药品检验检测机构；</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（6）其他单位和个人等报告主体。</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3.2.2报告程序和时限</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按照由下至上逐级报告的原则，各责任主体应及时报告药品安全事件，紧急情况可同时越级报告。</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（1）药品</w:t>
      </w:r>
      <w:r>
        <w:rPr>
          <w:rFonts w:hint="eastAsia" w:ascii="仿宋_GB2312" w:hAnsi="仿宋_GB2312" w:eastAsia="仿宋_GB2312" w:cs="仿宋_GB2312"/>
          <w:sz w:val="32"/>
          <w:szCs w:val="32"/>
          <w:lang w:eastAsia="zh-CN"/>
        </w:rPr>
        <w:t>零售</w:t>
      </w:r>
      <w:r>
        <w:rPr>
          <w:rFonts w:hint="eastAsia" w:ascii="仿宋_GB2312" w:hAnsi="仿宋_GB2312" w:eastAsia="仿宋_GB2312" w:cs="仿宋_GB2312"/>
          <w:sz w:val="32"/>
          <w:szCs w:val="32"/>
        </w:rPr>
        <w:t>企业在发现或获知药品安全事件发生后，应当立即</w:t>
      </w:r>
      <w:r>
        <w:rPr>
          <w:rFonts w:hint="eastAsia" w:ascii="仿宋_GB2312" w:hAnsi="仿宋_GB2312" w:eastAsia="仿宋_GB2312" w:cs="仿宋_GB2312"/>
          <w:sz w:val="32"/>
          <w:szCs w:val="32"/>
          <w:lang w:eastAsia="zh-CN"/>
        </w:rPr>
        <w:t>向聊城经济技术开发区</w:t>
      </w:r>
      <w:r>
        <w:rPr>
          <w:rFonts w:hint="eastAsia" w:ascii="仿宋_GB2312" w:hAnsi="仿宋_GB2312" w:eastAsia="仿宋_GB2312" w:cs="仿宋_GB2312"/>
          <w:sz w:val="32"/>
          <w:szCs w:val="32"/>
        </w:rPr>
        <w:t>市场监督管理部报告。</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医疗卫生机构和疾病预防控制机构在发现或获知药品安全事件发生后，应当立即向</w:t>
      </w:r>
      <w:r>
        <w:rPr>
          <w:rFonts w:hint="eastAsia" w:ascii="仿宋_GB2312" w:hAnsi="仿宋_GB2312" w:eastAsia="仿宋_GB2312" w:cs="仿宋_GB2312"/>
          <w:sz w:val="32"/>
          <w:szCs w:val="32"/>
          <w:lang w:eastAsia="zh-CN"/>
        </w:rPr>
        <w:t>聊城经济技术开发区</w:t>
      </w:r>
      <w:r>
        <w:rPr>
          <w:rFonts w:hint="eastAsia" w:ascii="仿宋_GB2312" w:hAnsi="仿宋_GB2312" w:eastAsia="仿宋_GB2312" w:cs="仿宋_GB2312"/>
          <w:sz w:val="32"/>
          <w:szCs w:val="32"/>
        </w:rPr>
        <w:t>市场监督管理部报告，同时向</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color w:val="auto"/>
          <w:sz w:val="32"/>
          <w:szCs w:val="32"/>
          <w:lang w:eastAsia="zh-CN"/>
        </w:rPr>
        <w:t>卫健管理办公室</w:t>
      </w:r>
      <w:r>
        <w:rPr>
          <w:rFonts w:hint="eastAsia" w:ascii="仿宋_GB2312" w:hAnsi="仿宋_GB2312" w:eastAsia="仿宋_GB2312" w:cs="仿宋_GB2312"/>
          <w:sz w:val="32"/>
          <w:szCs w:val="32"/>
        </w:rPr>
        <w:t>报告。</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color w:val="auto"/>
          <w:sz w:val="32"/>
          <w:szCs w:val="32"/>
          <w:lang w:eastAsia="zh-CN"/>
        </w:rPr>
        <w:t>卫健管理办公室</w:t>
      </w:r>
      <w:r>
        <w:rPr>
          <w:rFonts w:hint="eastAsia" w:ascii="仿宋_GB2312" w:hAnsi="仿宋_GB2312" w:eastAsia="仿宋_GB2312" w:cs="仿宋_GB2312"/>
          <w:sz w:val="32"/>
          <w:szCs w:val="32"/>
        </w:rPr>
        <w:t>从其他渠道获得的药品安全事件信息，应及时通报</w:t>
      </w:r>
      <w:r>
        <w:rPr>
          <w:rFonts w:hint="eastAsia" w:ascii="仿宋_GB2312" w:hAnsi="仿宋_GB2312" w:eastAsia="仿宋_GB2312" w:cs="仿宋_GB2312"/>
          <w:sz w:val="32"/>
          <w:szCs w:val="32"/>
          <w:lang w:eastAsia="zh-CN"/>
        </w:rPr>
        <w:t>聊城经济技术开发区</w:t>
      </w:r>
      <w:r>
        <w:rPr>
          <w:rFonts w:hint="eastAsia" w:ascii="仿宋_GB2312" w:hAnsi="仿宋_GB2312" w:eastAsia="仿宋_GB2312" w:cs="仿宋_GB2312"/>
          <w:sz w:val="32"/>
          <w:szCs w:val="32"/>
        </w:rPr>
        <w:t>市场监督管理部。</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lang w:eastAsia="zh-CN"/>
        </w:rPr>
        <w:t>聊城经济技术开发区</w:t>
      </w:r>
      <w:r>
        <w:rPr>
          <w:rFonts w:hint="eastAsia" w:ascii="仿宋_GB2312" w:hAnsi="仿宋_GB2312" w:eastAsia="仿宋_GB2312" w:cs="仿宋_GB2312"/>
          <w:sz w:val="32"/>
          <w:szCs w:val="32"/>
        </w:rPr>
        <w:t>市场监督管理部等</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，发现或获知药品安全事件后，应在20分钟内以口头形式、40分钟内以书面形式向</w:t>
      </w:r>
      <w:r>
        <w:rPr>
          <w:rFonts w:hint="eastAsia" w:ascii="仿宋_GB2312" w:hAnsi="仿宋_GB2312" w:eastAsia="仿宋_GB2312" w:cs="仿宋_GB2312"/>
          <w:color w:val="auto"/>
          <w:sz w:val="32"/>
          <w:szCs w:val="32"/>
          <w:lang w:eastAsia="zh-CN"/>
        </w:rPr>
        <w:t>聊城经济技术开发区管委会</w:t>
      </w:r>
      <w:r>
        <w:rPr>
          <w:rFonts w:hint="eastAsia" w:ascii="仿宋_GB2312" w:hAnsi="仿宋_GB2312" w:eastAsia="仿宋_GB2312" w:cs="仿宋_GB2312"/>
          <w:color w:val="auto"/>
          <w:sz w:val="32"/>
          <w:szCs w:val="32"/>
        </w:rPr>
        <w:t>和</w:t>
      </w:r>
      <w:r>
        <w:rPr>
          <w:rFonts w:hint="eastAsia" w:ascii="仿宋_GB2312" w:hAnsi="仿宋_GB2312" w:eastAsia="仿宋_GB2312" w:cs="仿宋_GB2312"/>
          <w:color w:val="auto"/>
          <w:sz w:val="32"/>
          <w:szCs w:val="32"/>
          <w:lang w:eastAsia="zh-CN"/>
        </w:rPr>
        <w:t>聊城</w:t>
      </w:r>
      <w:r>
        <w:rPr>
          <w:rFonts w:hint="eastAsia" w:ascii="仿宋_GB2312" w:hAnsi="仿宋_GB2312" w:eastAsia="仿宋_GB2312" w:cs="仿宋_GB2312"/>
          <w:color w:val="auto"/>
          <w:sz w:val="32"/>
          <w:szCs w:val="32"/>
        </w:rPr>
        <w:t>市市场监管</w:t>
      </w:r>
      <w:r>
        <w:rPr>
          <w:rFonts w:hint="eastAsia" w:ascii="仿宋_GB2312" w:hAnsi="仿宋_GB2312" w:eastAsia="仿宋_GB2312" w:cs="仿宋_GB2312"/>
          <w:color w:val="auto"/>
          <w:sz w:val="32"/>
          <w:szCs w:val="32"/>
          <w:lang w:eastAsia="zh-CN"/>
        </w:rPr>
        <w:t>局</w:t>
      </w:r>
      <w:r>
        <w:rPr>
          <w:rFonts w:hint="eastAsia" w:ascii="仿宋_GB2312" w:hAnsi="仿宋_GB2312" w:eastAsia="仿宋_GB2312" w:cs="仿宋_GB2312"/>
          <w:color w:val="auto"/>
          <w:sz w:val="32"/>
          <w:szCs w:val="32"/>
        </w:rPr>
        <w:t>报告。</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highlight w:val="none"/>
          <w:lang w:val="en-US" w:eastAsia="zh-CN"/>
        </w:rPr>
        <w:t>区</w:t>
      </w:r>
      <w:r>
        <w:rPr>
          <w:rFonts w:hint="eastAsia" w:ascii="仿宋_GB2312" w:hAnsi="仿宋_GB2312" w:eastAsia="仿宋_GB2312" w:cs="仿宋_GB2312"/>
          <w:color w:val="auto"/>
          <w:sz w:val="32"/>
          <w:szCs w:val="32"/>
          <w:highlight w:val="none"/>
        </w:rPr>
        <w:t>市场监督管理部</w:t>
      </w:r>
      <w:r>
        <w:rPr>
          <w:rFonts w:hint="eastAsia" w:ascii="仿宋_GB2312" w:hAnsi="仿宋_GB2312" w:eastAsia="仿宋_GB2312" w:cs="仿宋_GB2312"/>
          <w:color w:val="auto"/>
          <w:sz w:val="32"/>
          <w:szCs w:val="32"/>
        </w:rPr>
        <w:t>接到报告后，对报告内容的可靠性进行核实和初步研判，初步认定为Ⅰ级（特别重大）、Ⅱ级（重大）、Ⅲ级（较大）</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Ⅳ级（一般）药品安全事件的，应在20分钟内以口头形式、40分钟内以书面形式向</w:t>
      </w:r>
      <w:r>
        <w:rPr>
          <w:rFonts w:hint="eastAsia" w:ascii="仿宋_GB2312" w:hAnsi="仿宋_GB2312" w:eastAsia="仿宋_GB2312" w:cs="仿宋_GB2312"/>
          <w:color w:val="auto"/>
          <w:sz w:val="32"/>
          <w:szCs w:val="32"/>
          <w:lang w:eastAsia="zh-CN"/>
        </w:rPr>
        <w:t>聊城经济技术开发区管委会</w:t>
      </w:r>
      <w:r>
        <w:rPr>
          <w:rFonts w:hint="eastAsia" w:ascii="仿宋_GB2312" w:hAnsi="仿宋_GB2312" w:eastAsia="仿宋_GB2312" w:cs="仿宋_GB2312"/>
          <w:color w:val="auto"/>
          <w:sz w:val="32"/>
          <w:szCs w:val="32"/>
        </w:rPr>
        <w:t>和</w:t>
      </w:r>
      <w:r>
        <w:rPr>
          <w:rFonts w:hint="eastAsia" w:ascii="仿宋_GB2312" w:hAnsi="仿宋_GB2312" w:eastAsia="仿宋_GB2312" w:cs="仿宋_GB2312"/>
          <w:color w:val="auto"/>
          <w:sz w:val="32"/>
          <w:szCs w:val="32"/>
          <w:lang w:eastAsia="zh-CN"/>
        </w:rPr>
        <w:t>聊城</w:t>
      </w:r>
      <w:r>
        <w:rPr>
          <w:rFonts w:hint="eastAsia" w:ascii="仿宋_GB2312" w:hAnsi="仿宋_GB2312" w:eastAsia="仿宋_GB2312" w:cs="仿宋_GB2312"/>
          <w:color w:val="auto"/>
          <w:sz w:val="32"/>
          <w:szCs w:val="32"/>
        </w:rPr>
        <w:t>市市场监管局报告，并通报开发区</w:t>
      </w:r>
      <w:r>
        <w:rPr>
          <w:rFonts w:hint="eastAsia" w:ascii="仿宋_GB2312" w:hAnsi="仿宋_GB2312" w:eastAsia="仿宋_GB2312" w:cs="仿宋_GB2312"/>
          <w:color w:val="auto"/>
          <w:sz w:val="32"/>
          <w:szCs w:val="32"/>
          <w:lang w:eastAsia="zh-CN"/>
        </w:rPr>
        <w:t>卫健管理</w:t>
      </w:r>
      <w:r>
        <w:rPr>
          <w:rFonts w:hint="eastAsia" w:ascii="仿宋_GB2312" w:hAnsi="仿宋_GB2312" w:eastAsia="仿宋_GB2312" w:cs="仿宋_GB2312"/>
          <w:color w:val="auto"/>
          <w:sz w:val="32"/>
          <w:szCs w:val="32"/>
        </w:rPr>
        <w:t>办公室、应急</w:t>
      </w:r>
      <w:r>
        <w:rPr>
          <w:rFonts w:hint="eastAsia" w:ascii="仿宋_GB2312" w:hAnsi="仿宋_GB2312" w:eastAsia="仿宋_GB2312" w:cs="仿宋_GB2312"/>
          <w:color w:val="auto"/>
          <w:sz w:val="32"/>
          <w:szCs w:val="32"/>
          <w:lang w:eastAsia="zh-CN"/>
        </w:rPr>
        <w:t>办</w:t>
      </w:r>
      <w:r>
        <w:rPr>
          <w:rFonts w:hint="eastAsia" w:ascii="仿宋_GB2312" w:hAnsi="仿宋_GB2312" w:eastAsia="仿宋_GB2312" w:cs="仿宋_GB2312"/>
          <w:color w:val="auto"/>
          <w:sz w:val="32"/>
          <w:szCs w:val="32"/>
        </w:rPr>
        <w:t>。必要时，将药品安全事件情况通报</w:t>
      </w:r>
      <w:r>
        <w:rPr>
          <w:rFonts w:hint="eastAsia" w:ascii="仿宋_GB2312" w:hAnsi="仿宋_GB2312" w:eastAsia="仿宋_GB2312" w:cs="仿宋_GB2312"/>
          <w:color w:val="auto"/>
          <w:sz w:val="32"/>
          <w:szCs w:val="32"/>
          <w:lang w:eastAsia="zh-CN"/>
        </w:rPr>
        <w:t>其他相关区</w:t>
      </w:r>
      <w:r>
        <w:rPr>
          <w:rFonts w:hint="eastAsia" w:ascii="仿宋_GB2312" w:hAnsi="仿宋_GB2312" w:eastAsia="仿宋_GB2312" w:cs="仿宋_GB2312"/>
          <w:color w:val="auto"/>
          <w:sz w:val="32"/>
          <w:szCs w:val="32"/>
        </w:rPr>
        <w:t>直部门。同时立即组织人员，赴现场进行调查核实。情况紧急时，可同时</w:t>
      </w:r>
      <w:r>
        <w:rPr>
          <w:rFonts w:hint="eastAsia" w:ascii="仿宋_GB2312" w:hAnsi="仿宋_GB2312" w:eastAsia="仿宋_GB2312" w:cs="仿宋_GB2312"/>
          <w:color w:val="auto"/>
          <w:sz w:val="32"/>
          <w:szCs w:val="32"/>
          <w:lang w:eastAsia="zh-CN"/>
        </w:rPr>
        <w:t>聊城</w:t>
      </w:r>
      <w:r>
        <w:rPr>
          <w:rFonts w:hint="eastAsia" w:ascii="仿宋_GB2312" w:hAnsi="仿宋_GB2312" w:eastAsia="仿宋_GB2312" w:cs="仿宋_GB2312"/>
          <w:color w:val="auto"/>
          <w:kern w:val="0"/>
          <w:sz w:val="32"/>
          <w:lang w:eastAsia="zh-CN"/>
        </w:rPr>
        <w:t>市人民</w:t>
      </w:r>
      <w:r>
        <w:rPr>
          <w:rFonts w:hint="eastAsia" w:ascii="仿宋_GB2312" w:hAnsi="仿宋_GB2312" w:eastAsia="仿宋_GB2312" w:cs="仿宋_GB2312"/>
          <w:color w:val="auto"/>
          <w:kern w:val="0"/>
          <w:sz w:val="32"/>
        </w:rPr>
        <w:t>政府（</w:t>
      </w:r>
      <w:r>
        <w:rPr>
          <w:rFonts w:hint="eastAsia" w:ascii="仿宋_GB2312" w:hAnsi="仿宋_GB2312" w:eastAsia="仿宋_GB2312" w:cs="仿宋_GB2312"/>
          <w:color w:val="auto"/>
          <w:kern w:val="0"/>
          <w:sz w:val="32"/>
          <w:lang w:eastAsia="zh-CN"/>
        </w:rPr>
        <w:t>市</w:t>
      </w:r>
      <w:r>
        <w:rPr>
          <w:rFonts w:hint="eastAsia" w:ascii="仿宋_GB2312" w:hAnsi="仿宋_GB2312" w:eastAsia="仿宋_GB2312" w:cs="仿宋_GB2312"/>
          <w:color w:val="auto"/>
          <w:kern w:val="0"/>
          <w:sz w:val="32"/>
        </w:rPr>
        <w:t>政府值班室）、</w:t>
      </w:r>
      <w:r>
        <w:rPr>
          <w:rFonts w:hint="eastAsia" w:ascii="仿宋_GB2312" w:hAnsi="仿宋_GB2312" w:eastAsia="仿宋_GB2312" w:cs="仿宋_GB2312"/>
          <w:color w:val="auto"/>
          <w:kern w:val="0"/>
          <w:sz w:val="32"/>
          <w:lang w:eastAsia="zh-CN"/>
        </w:rPr>
        <w:t>省市场</w:t>
      </w:r>
      <w:r>
        <w:rPr>
          <w:rFonts w:hint="eastAsia" w:ascii="仿宋_GB2312" w:hAnsi="仿宋_GB2312" w:eastAsia="仿宋_GB2312" w:cs="仿宋_GB2312"/>
          <w:color w:val="auto"/>
          <w:kern w:val="0"/>
          <w:sz w:val="32"/>
        </w:rPr>
        <w:t>监管</w:t>
      </w:r>
      <w:r>
        <w:rPr>
          <w:rFonts w:hint="eastAsia" w:ascii="仿宋_GB2312" w:hAnsi="仿宋_GB2312" w:eastAsia="仿宋_GB2312" w:cs="仿宋_GB2312"/>
          <w:color w:val="auto"/>
          <w:kern w:val="0"/>
          <w:sz w:val="32"/>
          <w:lang w:eastAsia="zh-CN"/>
        </w:rPr>
        <w:t>局、省</w:t>
      </w:r>
      <w:r>
        <w:rPr>
          <w:rFonts w:hint="eastAsia" w:ascii="仿宋_GB2312" w:hAnsi="仿宋_GB2312" w:eastAsia="仿宋_GB2312" w:cs="仿宋_GB2312"/>
          <w:color w:val="auto"/>
          <w:kern w:val="0"/>
          <w:sz w:val="32"/>
        </w:rPr>
        <w:t>药监</w:t>
      </w:r>
      <w:r>
        <w:rPr>
          <w:rFonts w:hint="eastAsia" w:ascii="仿宋_GB2312" w:hAnsi="仿宋_GB2312" w:eastAsia="仿宋_GB2312" w:cs="仿宋_GB2312"/>
          <w:color w:val="auto"/>
          <w:kern w:val="0"/>
          <w:sz w:val="32"/>
          <w:lang w:eastAsia="zh-CN"/>
        </w:rPr>
        <w:t>局</w:t>
      </w:r>
      <w:r>
        <w:rPr>
          <w:rFonts w:hint="eastAsia" w:ascii="仿宋_GB2312" w:hAnsi="仿宋_GB2312" w:eastAsia="仿宋_GB2312" w:cs="仿宋_GB2312"/>
          <w:color w:val="auto"/>
          <w:kern w:val="0"/>
          <w:sz w:val="32"/>
        </w:rPr>
        <w:t>报告</w:t>
      </w:r>
      <w:r>
        <w:rPr>
          <w:rFonts w:hint="eastAsia" w:ascii="仿宋_GB2312" w:hAnsi="仿宋_GB2312" w:eastAsia="仿宋_GB2312" w:cs="仿宋_GB2312"/>
          <w:color w:val="auto"/>
          <w:kern w:val="0"/>
          <w:sz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）涉及外国公民，或事件可能影响到境外的，及时通报</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lang w:eastAsia="zh-CN"/>
        </w:rPr>
        <w:t>商务投资促进部</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3.2.3报告内容</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按照事件发生、发展、控制过程，事件信息报告分为初次报告、进展报告和总结报告。</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初次报告：主要内容包括事件名称，事件性质，所涉药品的生产经营企业名称、产品规格、包装及批号等信息，事件的发生时间、地点、影响范围，受害者基本信息、主要症状与体征，已经采取的措施，事件的发展趋势和潜在危害程度，下一步工作计划以及报告单位、联络员和通讯方式。</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（2）进展报告：主要内容包括事件调查情况和原因分析结果、产品控制情况、事件影响评估、采取的控制措施等，对初次报告的内容进行补充。</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Ⅰ级（特别重大）、Ⅱ级（重大）、Ⅲ级（较大）</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color w:val="auto"/>
          <w:sz w:val="32"/>
          <w:szCs w:val="32"/>
        </w:rPr>
        <w:t>Ⅳ级（一般）</w:t>
      </w:r>
      <w:r>
        <w:rPr>
          <w:rFonts w:hint="eastAsia" w:ascii="仿宋_GB2312" w:hAnsi="仿宋_GB2312" w:eastAsia="仿宋_GB2312" w:cs="仿宋_GB2312"/>
          <w:sz w:val="32"/>
          <w:szCs w:val="32"/>
        </w:rPr>
        <w:t>药品安全事件应每日报告事件进展报告，重要情况随时上报。</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总结报告：主要内容包括对事件的起因、性质、影响、责任、应对等进行全面分析，对事件应对过程中的经验和存在的问题进行及时总结，并提出今后对类似事件的防范和处置建议。总结报告应在事件应急响应终止后2周内报送。</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3.2.4报告方式</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初次报告和进展报告一般可通过网络、电话或传真等方式报告，总结报告应采用书面或电子文档形式；涉及国家秘密的，应选择符合保密规定的方式报告。</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3.3预警</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根据监测信息，对</w:t>
      </w:r>
      <w:r>
        <w:rPr>
          <w:rFonts w:hint="eastAsia" w:ascii="仿宋_GB2312" w:hAnsi="仿宋_GB2312" w:eastAsia="仿宋_GB2312" w:cs="仿宋_GB2312"/>
          <w:sz w:val="32"/>
          <w:szCs w:val="32"/>
          <w:lang w:eastAsia="zh-CN"/>
        </w:rPr>
        <w:t>辖区</w:t>
      </w:r>
      <w:r>
        <w:rPr>
          <w:rFonts w:hint="eastAsia" w:ascii="仿宋_GB2312" w:hAnsi="仿宋_GB2312" w:eastAsia="仿宋_GB2312" w:cs="仿宋_GB2312"/>
          <w:sz w:val="32"/>
          <w:szCs w:val="32"/>
        </w:rPr>
        <w:t>内药品安全事件相关危险因素进行分析，对可能危害公众健康的风险因素、风险级别、影响范围、紧急程度和可能存在的危害提出分析评估意见，及时向</w:t>
      </w:r>
      <w:r>
        <w:rPr>
          <w:rFonts w:hint="eastAsia" w:ascii="仿宋_GB2312" w:hAnsi="仿宋_GB2312" w:eastAsia="仿宋_GB2312" w:cs="仿宋_GB2312"/>
          <w:sz w:val="32"/>
          <w:szCs w:val="32"/>
          <w:lang w:eastAsia="zh-CN"/>
        </w:rPr>
        <w:t>聊城经济技术开发区管委会</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lang w:eastAsia="zh-CN"/>
        </w:rPr>
        <w:t>聊城</w:t>
      </w:r>
      <w:r>
        <w:rPr>
          <w:rFonts w:hint="eastAsia" w:ascii="仿宋_GB2312" w:hAnsi="仿宋_GB2312" w:eastAsia="仿宋_GB2312" w:cs="仿宋_GB2312"/>
          <w:sz w:val="32"/>
          <w:szCs w:val="32"/>
        </w:rPr>
        <w:t>市市场监管</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报告。</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各级</w:t>
      </w:r>
      <w:r>
        <w:rPr>
          <w:rFonts w:hint="eastAsia" w:ascii="仿宋_GB2312" w:hAnsi="仿宋_GB2312" w:eastAsia="仿宋_GB2312" w:cs="仿宋_GB2312"/>
          <w:sz w:val="32"/>
          <w:szCs w:val="32"/>
        </w:rPr>
        <w:t>提交的风险评估结果，</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lang w:eastAsia="zh-CN"/>
        </w:rPr>
        <w:t>管委会</w:t>
      </w:r>
      <w:r>
        <w:rPr>
          <w:rFonts w:hint="eastAsia" w:ascii="仿宋_GB2312" w:hAnsi="仿宋_GB2312" w:eastAsia="仿宋_GB2312" w:cs="仿宋_GB2312"/>
          <w:sz w:val="32"/>
          <w:szCs w:val="32"/>
        </w:rPr>
        <w:t>或相关部门研究确定发布药品风险提示信息和用药指导信息，对可以预警的药品安全事件，根据风险分析结果进行预警。</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3.3.1预警分级</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可以预警的药品安全事件，根据风险评估结果进行分级预警，一般划分为一级、二级、三级、四级。一级预警、二级预警由国家和省级层面确定发布，二级预警由省药品监督管理部门报请省政府授权确定发布，三级预警由市市场监督管理局报请市政府授权确定发布并采取相应措施、四级预警由</w:t>
      </w:r>
      <w:r>
        <w:rPr>
          <w:rFonts w:hint="eastAsia" w:ascii="仿宋_GB2312" w:hAnsi="仿宋_GB2312" w:eastAsia="仿宋_GB2312" w:cs="仿宋_GB2312"/>
          <w:sz w:val="32"/>
          <w:szCs w:val="32"/>
          <w:lang w:eastAsia="zh-CN"/>
        </w:rPr>
        <w:t>聊城经济技术开发区市场监管部报请聊城经济技术开发区管委会</w:t>
      </w:r>
      <w:r>
        <w:rPr>
          <w:rFonts w:hint="eastAsia" w:ascii="仿宋_GB2312" w:hAnsi="仿宋_GB2312" w:eastAsia="仿宋_GB2312" w:cs="仿宋_GB2312"/>
          <w:sz w:val="32"/>
          <w:szCs w:val="32"/>
        </w:rPr>
        <w:t>授权确定发布并采取相应措施。</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一级：有可能发生Ⅰ级（特别重大）药品安全事件；发生Ⅱ级（重大）药品安全事件。</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二级：有可能发生Ⅱ级（重大）药品安全事件；发生Ⅲ级（较大）药品安全事件。</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三级：有可能发生Ⅲ级（较大）药品安全事件；发生Ⅳ级（一般）药品安全事件。</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四级：有可能发生Ⅳ级（一般）药品安全事件。</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3.3.2一级预警措施</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根据国家层面发布的一级预警，采取相关措施。</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3.3.3二级预警措施</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根据省级层面发布的二级预警，采取相关措施。</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3.3.4三级预警措施</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级层面发布的</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级预警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采取相应措施。</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3.3.5四级预警措施</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管委会和相关部门采取以下措施：</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根据可能发生的事件的特点和造成的危害，及时采取相应措施。</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（1）做好启动Ⅳ级</w:t>
      </w:r>
      <w:r>
        <w:rPr>
          <w:rFonts w:hint="eastAsia" w:ascii="仿宋_GB2312" w:hAnsi="仿宋_GB2312" w:eastAsia="仿宋_GB2312" w:cs="仿宋_GB2312"/>
          <w:sz w:val="32"/>
          <w:szCs w:val="32"/>
          <w:lang w:eastAsia="zh-CN"/>
        </w:rPr>
        <w:t>（一般）</w:t>
      </w:r>
      <w:r>
        <w:rPr>
          <w:rFonts w:hint="eastAsia" w:ascii="仿宋_GB2312" w:hAnsi="仿宋_GB2312" w:eastAsia="仿宋_GB2312" w:cs="仿宋_GB2312"/>
          <w:sz w:val="32"/>
          <w:szCs w:val="32"/>
        </w:rPr>
        <w:t>响应的准备；</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（2）组织加强对事件发展情况的动态监测，随时对相关信息进行分析评估，根据情况调整预警级别；</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（3）加强对事件发生地应急处置工作的指导，必要时派出人员赶赴现场；</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（4）及时向社会发布所涉及药品警示信息，宣传避免、减少危害的科学常识，公布咨询电话，发送信息提示；</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（5）及时向有关部门通报预警信息。</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3.3.5预警级别调整和解除</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一级预警级别调整与解除由国家层面负责。</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二级预警级别调整与解除由省级层面负责。</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三级预警级别调整与解除由</w:t>
      </w:r>
      <w:r>
        <w:rPr>
          <w:rFonts w:hint="eastAsia" w:ascii="仿宋_GB2312" w:hAnsi="仿宋_GB2312" w:eastAsia="仿宋_GB2312" w:cs="仿宋_GB2312"/>
          <w:sz w:val="32"/>
          <w:szCs w:val="32"/>
          <w:lang w:eastAsia="zh-CN"/>
        </w:rPr>
        <w:t>市级层面负责。</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四级预警级别调整与解除由</w:t>
      </w:r>
      <w:r>
        <w:rPr>
          <w:rFonts w:hint="eastAsia" w:ascii="仿宋_GB2312" w:hAnsi="仿宋_GB2312" w:eastAsia="仿宋_GB2312" w:cs="仿宋_GB2312"/>
          <w:sz w:val="32"/>
          <w:szCs w:val="32"/>
          <w:lang w:eastAsia="zh-CN"/>
        </w:rPr>
        <w:t>聊城经济技术开发区管委会</w:t>
      </w:r>
      <w:r>
        <w:rPr>
          <w:rFonts w:hint="eastAsia" w:ascii="仿宋_GB2312" w:hAnsi="仿宋_GB2312" w:eastAsia="仿宋_GB2312" w:cs="仿宋_GB2312"/>
          <w:sz w:val="32"/>
          <w:szCs w:val="32"/>
        </w:rPr>
        <w:t>或授权</w:t>
      </w:r>
      <w:r>
        <w:rPr>
          <w:rFonts w:hint="eastAsia" w:ascii="仿宋_GB2312" w:hAnsi="仿宋_GB2312" w:eastAsia="仿宋_GB2312" w:cs="仿宋_GB2312"/>
          <w:sz w:val="32"/>
          <w:szCs w:val="32"/>
          <w:lang w:eastAsia="zh-CN"/>
        </w:rPr>
        <w:t>聊城经济技术开发区</w:t>
      </w:r>
      <w:r>
        <w:rPr>
          <w:rFonts w:hint="eastAsia" w:ascii="仿宋_GB2312" w:hAnsi="仿宋_GB2312" w:eastAsia="仿宋_GB2312" w:cs="仿宋_GB2312"/>
          <w:sz w:val="32"/>
          <w:szCs w:val="32"/>
        </w:rPr>
        <w:t>市场监督管理部负责。根据评估结果、对事件的处置情况，认为预警可能发生的事件趋势好转或可能性消除，由</w:t>
      </w:r>
      <w:r>
        <w:rPr>
          <w:rFonts w:hint="eastAsia" w:ascii="仿宋_GB2312" w:hAnsi="仿宋_GB2312" w:eastAsia="仿宋_GB2312" w:cs="仿宋_GB2312"/>
          <w:sz w:val="32"/>
          <w:szCs w:val="32"/>
          <w:lang w:eastAsia="zh-CN"/>
        </w:rPr>
        <w:t>聊城经济技术开发区管委会</w:t>
      </w:r>
      <w:r>
        <w:rPr>
          <w:rFonts w:hint="eastAsia" w:ascii="仿宋_GB2312" w:hAnsi="仿宋_GB2312" w:eastAsia="仿宋_GB2312" w:cs="仿宋_GB2312"/>
          <w:sz w:val="32"/>
          <w:szCs w:val="32"/>
        </w:rPr>
        <w:t>或授权</w:t>
      </w:r>
      <w:r>
        <w:rPr>
          <w:rFonts w:hint="eastAsia" w:ascii="仿宋_GB2312" w:hAnsi="仿宋_GB2312" w:eastAsia="仿宋_GB2312" w:cs="仿宋_GB2312"/>
          <w:sz w:val="32"/>
          <w:szCs w:val="32"/>
          <w:lang w:eastAsia="zh-CN"/>
        </w:rPr>
        <w:t>聊城经济技术开发区</w:t>
      </w:r>
      <w:r>
        <w:rPr>
          <w:rFonts w:hint="eastAsia" w:ascii="仿宋_GB2312" w:hAnsi="仿宋_GB2312" w:eastAsia="仿宋_GB2312" w:cs="仿宋_GB2312"/>
          <w:sz w:val="32"/>
          <w:szCs w:val="32"/>
        </w:rPr>
        <w:t>市场监管部宣布降低或解除预警。</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4</w:t>
      </w:r>
      <w:r>
        <w:rPr>
          <w:rFonts w:hint="eastAsia" w:ascii="黑体" w:hAnsi="黑体" w:eastAsia="黑体" w:cs="黑体"/>
          <w:sz w:val="32"/>
          <w:szCs w:val="32"/>
          <w:lang w:val="en-US" w:eastAsia="zh-CN"/>
        </w:rPr>
        <w:t>.</w:t>
      </w:r>
      <w:r>
        <w:rPr>
          <w:rFonts w:hint="eastAsia" w:ascii="黑体" w:hAnsi="黑体" w:eastAsia="黑体" w:cs="黑体"/>
          <w:sz w:val="32"/>
          <w:szCs w:val="32"/>
        </w:rPr>
        <w:t>应急响应</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4.1应急响应分级</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按照统一领导、分级负责的原则，根据药品安全事件的级别，药品安全事件的应急响应分为Ⅰ级（特别重大）、Ⅱ级（重大）、Ⅲ级（较大）、Ⅳ级（一般）。</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发生药品安全事件时，各级政府及有关部门应按照分级响应的原则，</w:t>
      </w:r>
      <w:r>
        <w:rPr>
          <w:rFonts w:hint="eastAsia" w:ascii="仿宋_GB2312" w:hAnsi="仿宋_GB2312" w:eastAsia="仿宋_GB2312" w:cs="仿宋_GB2312"/>
          <w:sz w:val="32"/>
          <w:szCs w:val="32"/>
          <w:lang w:eastAsia="zh-CN"/>
        </w:rPr>
        <w:t>做出</w:t>
      </w:r>
      <w:r>
        <w:rPr>
          <w:rFonts w:hint="eastAsia" w:ascii="仿宋_GB2312" w:hAnsi="仿宋_GB2312" w:eastAsia="仿宋_GB2312" w:cs="仿宋_GB2312"/>
          <w:sz w:val="32"/>
          <w:szCs w:val="32"/>
        </w:rPr>
        <w:t>相应级别应急响应。同时，应遵循药品安全事件发生发展的客观规律，结合实际情况，及时调整响应级别，以有效控制事件，减少危害和影响。</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4.2先期处置</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接到药品安全事件报告后，在</w:t>
      </w:r>
      <w:r>
        <w:rPr>
          <w:rFonts w:hint="eastAsia" w:ascii="仿宋_GB2312" w:hAnsi="仿宋_GB2312" w:eastAsia="仿宋_GB2312" w:cs="仿宋_GB2312"/>
          <w:sz w:val="32"/>
          <w:szCs w:val="32"/>
          <w:lang w:eastAsia="zh-CN"/>
        </w:rPr>
        <w:t>聊城经济技术开发区管委会</w:t>
      </w:r>
      <w:r>
        <w:rPr>
          <w:rFonts w:hint="eastAsia" w:ascii="仿宋_GB2312" w:hAnsi="仿宋_GB2312" w:eastAsia="仿宋_GB2312" w:cs="仿宋_GB2312"/>
          <w:sz w:val="32"/>
          <w:szCs w:val="32"/>
        </w:rPr>
        <w:t>领导下，</w:t>
      </w:r>
      <w:r>
        <w:rPr>
          <w:rFonts w:hint="eastAsia" w:ascii="仿宋_GB2312" w:hAnsi="仿宋_GB2312" w:eastAsia="仿宋_GB2312" w:cs="仿宋_GB2312"/>
          <w:sz w:val="32"/>
          <w:szCs w:val="32"/>
          <w:lang w:eastAsia="zh-CN"/>
        </w:rPr>
        <w:t>聊城经济技术开发区</w:t>
      </w:r>
      <w:r>
        <w:rPr>
          <w:rFonts w:hint="eastAsia" w:ascii="仿宋_GB2312" w:hAnsi="仿宋_GB2312" w:eastAsia="仿宋_GB2312" w:cs="仿宋_GB2312"/>
          <w:sz w:val="32"/>
          <w:szCs w:val="32"/>
        </w:rPr>
        <w:t>市场监督管理部应立即协调</w:t>
      </w:r>
      <w:r>
        <w:rPr>
          <w:rFonts w:hint="eastAsia" w:ascii="仿宋_GB2312" w:hAnsi="仿宋_GB2312" w:eastAsia="仿宋_GB2312" w:cs="仿宋_GB2312"/>
          <w:sz w:val="32"/>
          <w:szCs w:val="32"/>
          <w:lang w:eastAsia="zh-CN"/>
        </w:rPr>
        <w:t>开发区</w:t>
      </w:r>
      <w:r>
        <w:rPr>
          <w:rFonts w:hint="eastAsia" w:ascii="仿宋_GB2312" w:hAnsi="仿宋_GB2312" w:eastAsia="仿宋_GB2312" w:cs="仿宋_GB2312"/>
          <w:color w:val="auto"/>
          <w:sz w:val="32"/>
          <w:szCs w:val="32"/>
          <w:lang w:eastAsia="zh-CN"/>
        </w:rPr>
        <w:t>卫健管理办公室</w:t>
      </w:r>
      <w:r>
        <w:rPr>
          <w:rFonts w:hint="eastAsia" w:ascii="仿宋_GB2312" w:hAnsi="仿宋_GB2312" w:eastAsia="仿宋_GB2312" w:cs="仿宋_GB2312"/>
          <w:sz w:val="32"/>
          <w:szCs w:val="32"/>
        </w:rPr>
        <w:t>对患者开展医疗救治工作，到事发现场进行调查核实、对相关药品进行封存，根据情况可在本行政辖区内对相关药品采取暂停销售、使用等紧急控制措施，并对相关药品进行抽检，对药品零售使用环节进行现场调查。并报告</w:t>
      </w:r>
      <w:r>
        <w:rPr>
          <w:rFonts w:hint="eastAsia" w:ascii="仿宋_GB2312" w:hAnsi="仿宋_GB2312" w:eastAsia="仿宋_GB2312" w:cs="仿宋_GB2312"/>
          <w:sz w:val="32"/>
          <w:szCs w:val="32"/>
          <w:lang w:eastAsia="zh-CN"/>
        </w:rPr>
        <w:t>聊城市市</w:t>
      </w:r>
      <w:r>
        <w:rPr>
          <w:rFonts w:hint="eastAsia" w:ascii="仿宋_GB2312" w:hAnsi="仿宋_GB2312" w:eastAsia="仿宋_GB2312" w:cs="仿宋_GB2312"/>
          <w:sz w:val="32"/>
          <w:szCs w:val="32"/>
        </w:rPr>
        <w:t>场监管局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对涉事</w:t>
      </w: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rPr>
        <w:t>药品生产环节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药品批发企业、零售连锁总部、互联网销售第三方平台等</w:t>
      </w:r>
      <w:r>
        <w:rPr>
          <w:rFonts w:hint="eastAsia" w:ascii="仿宋_GB2312" w:hAnsi="仿宋_GB2312" w:eastAsia="仿宋_GB2312" w:cs="仿宋_GB2312"/>
          <w:sz w:val="32"/>
          <w:szCs w:val="32"/>
          <w:lang w:eastAsia="zh-CN"/>
        </w:rPr>
        <w:t>由省药监局</w:t>
      </w:r>
      <w:r>
        <w:rPr>
          <w:rFonts w:hint="eastAsia" w:ascii="仿宋_GB2312" w:hAnsi="仿宋_GB2312" w:eastAsia="仿宋_GB2312" w:cs="仿宋_GB2312"/>
          <w:sz w:val="32"/>
          <w:szCs w:val="32"/>
        </w:rPr>
        <w:t>采取相应应急处置措施。</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接到药品安全事件报告后，</w:t>
      </w:r>
      <w:r>
        <w:rPr>
          <w:rFonts w:hint="eastAsia" w:ascii="仿宋_GB2312" w:hAnsi="仿宋_GB2312" w:eastAsia="仿宋_GB2312" w:cs="仿宋_GB2312"/>
          <w:sz w:val="32"/>
          <w:szCs w:val="32"/>
          <w:lang w:eastAsia="zh-CN"/>
        </w:rPr>
        <w:t>聊城经济技术开发区</w:t>
      </w:r>
      <w:r>
        <w:rPr>
          <w:rFonts w:hint="eastAsia" w:ascii="仿宋_GB2312" w:hAnsi="仿宋_GB2312" w:eastAsia="仿宋_GB2312" w:cs="仿宋_GB2312"/>
          <w:sz w:val="32"/>
          <w:szCs w:val="32"/>
        </w:rPr>
        <w:t>市场监督管理部立即与事件发生地</w:t>
      </w:r>
      <w:r>
        <w:rPr>
          <w:rFonts w:hint="eastAsia" w:ascii="仿宋_GB2312" w:hAnsi="仿宋_GB2312" w:eastAsia="仿宋_GB2312" w:cs="仿宋_GB2312"/>
          <w:sz w:val="32"/>
          <w:szCs w:val="32"/>
          <w:lang w:eastAsia="zh-CN"/>
        </w:rPr>
        <w:t>市场监管所</w:t>
      </w:r>
      <w:r>
        <w:rPr>
          <w:rFonts w:hint="eastAsia" w:ascii="仿宋_GB2312" w:hAnsi="仿宋_GB2312" w:eastAsia="仿宋_GB2312" w:cs="仿宋_GB2312"/>
          <w:sz w:val="32"/>
          <w:szCs w:val="32"/>
        </w:rPr>
        <w:t>联系，调查核实事件原因和进展情况，及时将有关情况报告</w:t>
      </w:r>
      <w:r>
        <w:rPr>
          <w:rFonts w:hint="eastAsia" w:ascii="仿宋_GB2312" w:hAnsi="仿宋_GB2312" w:eastAsia="仿宋_GB2312" w:cs="仿宋_GB2312"/>
          <w:sz w:val="32"/>
          <w:szCs w:val="32"/>
          <w:lang w:eastAsia="zh-CN"/>
        </w:rPr>
        <w:t>聊城经济技术开发区管委会</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lang w:eastAsia="zh-CN"/>
        </w:rPr>
        <w:t>市市场监管部门</w:t>
      </w:r>
      <w:r>
        <w:rPr>
          <w:rFonts w:hint="eastAsia" w:ascii="仿宋_GB2312" w:hAnsi="仿宋_GB2312" w:eastAsia="仿宋_GB2312" w:cs="仿宋_GB2312"/>
          <w:sz w:val="32"/>
          <w:szCs w:val="32"/>
        </w:rPr>
        <w:t>，并根据情况开展以下工作：</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（1）组织对事件涉及药品不良反应和检验检测数据进行分析评价，及时对数据库资料进行汇总统计。同时检索国内外相关资料，随时汇总、分析相关信息。</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（2）密切跟踪事件发展情况。组织对事件进行初步分析研判，提出是否向有关地区或全</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通报以及是否采取暂停生产、销售、使用的建议。</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（3）需暂停销售、使用的，提出暂停销售和使用相关药品风险控制措施决定并组织实施。</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（4）加强对事件处置工作的指导和协调。必要时，组织临床、药学等相关专家前往事发现场，对病人或病例进行现场调查并初步进行关联性评价。根据事件情况，组织相关检查员对涉及</w:t>
      </w:r>
      <w:r>
        <w:rPr>
          <w:rFonts w:hint="eastAsia" w:ascii="仿宋_GB2312" w:hAnsi="仿宋_GB2312" w:eastAsia="仿宋_GB2312" w:cs="仿宋_GB2312"/>
          <w:sz w:val="32"/>
          <w:szCs w:val="32"/>
          <w:lang w:eastAsia="zh-CN"/>
        </w:rPr>
        <w:t>零售</w:t>
      </w:r>
      <w:r>
        <w:rPr>
          <w:rFonts w:hint="eastAsia" w:ascii="仿宋_GB2312" w:hAnsi="仿宋_GB2312" w:eastAsia="仿宋_GB2312" w:cs="仿宋_GB2312"/>
          <w:sz w:val="32"/>
          <w:szCs w:val="32"/>
        </w:rPr>
        <w:t>企业、医疗卫生机构进行检查，并对相关药品进行检验检测，必要时进行分析研究。</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（5）及时将有关情况报告</w:t>
      </w:r>
      <w:r>
        <w:rPr>
          <w:rFonts w:hint="eastAsia" w:ascii="仿宋_GB2312" w:hAnsi="仿宋_GB2312" w:eastAsia="仿宋_GB2312" w:cs="仿宋_GB2312"/>
          <w:sz w:val="32"/>
          <w:szCs w:val="32"/>
          <w:lang w:eastAsia="zh-CN"/>
        </w:rPr>
        <w:t>聊城经济技术开发区管委会</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聊城市市场监督管理局</w:t>
      </w:r>
      <w:r>
        <w:rPr>
          <w:rFonts w:hint="eastAsia" w:ascii="仿宋_GB2312" w:hAnsi="仿宋_GB2312" w:eastAsia="仿宋_GB2312" w:cs="仿宋_GB2312"/>
          <w:sz w:val="32"/>
          <w:szCs w:val="32"/>
        </w:rPr>
        <w:t>，并通报</w:t>
      </w:r>
      <w:r>
        <w:rPr>
          <w:rFonts w:hint="eastAsia" w:ascii="仿宋_GB2312" w:hAnsi="仿宋_GB2312" w:eastAsia="仿宋_GB2312" w:cs="仿宋_GB2312"/>
          <w:sz w:val="32"/>
          <w:szCs w:val="32"/>
          <w:lang w:eastAsia="zh-CN"/>
        </w:rPr>
        <w:t>开发区卫健管理办公室</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（6）根据调查情况，组织专家进行分析评价，对事件性质和原因提出意见。</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（7）根据事件进展和调查处置情况，做好综合协调、信息汇总报送、新闻宣传、舆情处置等工作，适时报送和发布相关信息。</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4.3</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Ⅰ级（特别重大）应急响应</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在国家应急指挥部的统一领导和指挥下开展应急处置工作。省政府及事件发生地市政府和县级人民政府按照国家药品安全突发事件应急预案要求采取相应处置措施。</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4.4</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Ⅱ级（重大）应急响应</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在省应急指挥部的统一领导和指挥下开展应急处置工作。市政府及事件发生地县级人民政府按照山东省药品安全突发事件应急预案要求采取相应处置措施。</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4.5</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Ⅲ级（较大）应急响应</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应急指挥部的统一领导和指挥下开展应急处置工作。</w:t>
      </w:r>
      <w:r>
        <w:rPr>
          <w:rFonts w:hint="eastAsia" w:ascii="仿宋_GB2312" w:hAnsi="仿宋_GB2312" w:eastAsia="仿宋_GB2312" w:cs="仿宋_GB2312"/>
          <w:sz w:val="32"/>
          <w:szCs w:val="32"/>
          <w:lang w:eastAsia="zh-CN"/>
        </w:rPr>
        <w:t>聊城经济技术开发区管委会</w:t>
      </w:r>
      <w:r>
        <w:rPr>
          <w:rFonts w:hint="eastAsia" w:ascii="仿宋_GB2312" w:hAnsi="仿宋_GB2312" w:eastAsia="仿宋_GB2312" w:cs="仿宋_GB2312"/>
          <w:sz w:val="32"/>
          <w:szCs w:val="32"/>
        </w:rPr>
        <w:t>按照</w:t>
      </w:r>
      <w:r>
        <w:rPr>
          <w:rFonts w:hint="eastAsia" w:ascii="仿宋_GB2312" w:hAnsi="仿宋_GB2312" w:eastAsia="仿宋_GB2312" w:cs="仿宋_GB2312"/>
          <w:sz w:val="32"/>
          <w:szCs w:val="32"/>
          <w:lang w:eastAsia="zh-CN"/>
        </w:rPr>
        <w:t>聊城市</w:t>
      </w:r>
      <w:r>
        <w:rPr>
          <w:rFonts w:hint="eastAsia" w:ascii="仿宋_GB2312" w:hAnsi="仿宋_GB2312" w:eastAsia="仿宋_GB2312" w:cs="仿宋_GB2312"/>
          <w:sz w:val="32"/>
          <w:szCs w:val="32"/>
        </w:rPr>
        <w:t>药品安全突发事件应急预案要求采取相应处置措施。</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4.6</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Ⅳ级（一般）应急响应</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.1应急响应启动</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当事件达到Ⅳ级（一般）标准，或经分析研判认为事件有进一步升级为Ⅳ级（一般）趋势时，</w:t>
      </w:r>
      <w:r>
        <w:rPr>
          <w:rFonts w:hint="eastAsia" w:ascii="仿宋_GB2312" w:hAnsi="仿宋_GB2312" w:eastAsia="仿宋_GB2312" w:cs="仿宋_GB2312"/>
          <w:sz w:val="32"/>
          <w:szCs w:val="32"/>
          <w:lang w:eastAsia="zh-CN"/>
        </w:rPr>
        <w:t>开发区</w:t>
      </w:r>
      <w:r>
        <w:rPr>
          <w:rFonts w:hint="eastAsia" w:ascii="仿宋_GB2312" w:hAnsi="仿宋_GB2312" w:eastAsia="仿宋_GB2312" w:cs="仿宋_GB2312"/>
          <w:sz w:val="32"/>
          <w:szCs w:val="32"/>
        </w:rPr>
        <w:t>指挥部办公室提出启动Ⅳ级（一般）响应的建议，由</w:t>
      </w:r>
      <w:r>
        <w:rPr>
          <w:rFonts w:hint="eastAsia" w:ascii="仿宋_GB2312" w:hAnsi="仿宋_GB2312" w:eastAsia="仿宋_GB2312" w:cs="仿宋_GB2312"/>
          <w:sz w:val="32"/>
          <w:szCs w:val="32"/>
          <w:lang w:eastAsia="zh-CN"/>
        </w:rPr>
        <w:t>聊城经济技术开发区管委会</w:t>
      </w:r>
      <w:r>
        <w:rPr>
          <w:rFonts w:hint="eastAsia" w:ascii="仿宋_GB2312" w:hAnsi="仿宋_GB2312" w:eastAsia="仿宋_GB2312" w:cs="仿宋_GB2312"/>
          <w:sz w:val="32"/>
          <w:szCs w:val="32"/>
        </w:rPr>
        <w:t>决定启动Ⅳ级（一般）响应。</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响应措施</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eastAsia="zh-CN"/>
        </w:rPr>
        <w:t>开发区</w:t>
      </w:r>
      <w:r>
        <w:rPr>
          <w:rFonts w:hint="eastAsia" w:ascii="仿宋_GB2312" w:hAnsi="仿宋_GB2312" w:eastAsia="仿宋_GB2312" w:cs="仿宋_GB2312"/>
          <w:sz w:val="32"/>
          <w:szCs w:val="32"/>
        </w:rPr>
        <w:t>指挥部统一指挥组织下，各工作组按照分工开展相关工作。在先期处置工作的基础上，进一步采取以下措施：</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（1）组织开展联防联控。综合协调组组织有关部门按照各自职责，协同做好应急处置工作。根据需要及时调集和征用</w:t>
      </w:r>
      <w:r>
        <w:rPr>
          <w:rFonts w:hint="eastAsia" w:ascii="仿宋_GB2312" w:hAnsi="仿宋_GB2312" w:eastAsia="仿宋_GB2312" w:cs="仿宋_GB2312"/>
          <w:sz w:val="32"/>
          <w:szCs w:val="32"/>
          <w:lang w:eastAsia="zh-CN"/>
        </w:rPr>
        <w:t>开发区</w:t>
      </w:r>
      <w:r>
        <w:rPr>
          <w:rFonts w:hint="eastAsia" w:ascii="仿宋_GB2312" w:hAnsi="仿宋_GB2312" w:eastAsia="仿宋_GB2312" w:cs="仿宋_GB2312"/>
          <w:sz w:val="32"/>
          <w:szCs w:val="32"/>
        </w:rPr>
        <w:t>各类应急资源参加应急处置工作。建立日报告制度，及时汇总有关情况，做好信息报告通报等，重大紧急情况应即时报送。</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（2）组织开展医疗救治。医疗救治组集中全</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优质医疗资源，全力做好医疗救治，并做好院内控制和个人防护。</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（3）组织开展事件调查。事件调查组赴事件发生地开展事件调查和处置工作。如涉及生产企业或产品的，应通报省药监局区域监管分局，必要时，邀请省药监局区域监管分局参与事件调查。</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组织实施危害控制。危害控制组组织对相关药品进行统计、溯源，依职责协助主管部门责成相关药品经营企业紧急召回相关药品，对召回情况进行统计。根据情况组织对相关药品扩大抽检并组织开展检验检测，除按照标准进行检验外，同时开展非标准方法的研究和检验检测。必要时，委托其他有资质的检验机构进行平行检验。同时，做好其他危害控制相关工作。</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（5）组织分析研判。根据调查进展情况，专家技术组对事件性质、原因进行研判，作出研判结论和意见。结论和意见及时报告</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指挥部。</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（6）组织舆论引导。新闻宣传组按照《中华人民共和国药品管理法》等相关规定，及时向社会发布药品安全事件及其调查处理等相关信息，并开展舆情处置，正确引导舆论，回应社会关切。</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（7）维护社会稳定。社会稳定组保障商品供应、平抑物价，防止哄抢；严厉打击造谣传谣、哄抬物价、囤积居奇、制假售假等违法犯罪和扰乱社会治安的行为。</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应急响应的调整</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指挥部办公室根据事件波及范围、危害程度、控制难度、发展态势等，及时提请</w:t>
      </w:r>
      <w:r>
        <w:rPr>
          <w:rFonts w:hint="eastAsia" w:ascii="仿宋_GB2312" w:hAnsi="仿宋_GB2312" w:eastAsia="仿宋_GB2312" w:cs="仿宋_GB2312"/>
          <w:sz w:val="32"/>
          <w:szCs w:val="32"/>
          <w:lang w:eastAsia="zh-CN"/>
        </w:rPr>
        <w:t>开发区管委会</w:t>
      </w:r>
      <w:r>
        <w:rPr>
          <w:rFonts w:hint="eastAsia" w:ascii="仿宋_GB2312" w:hAnsi="仿宋_GB2312" w:eastAsia="仿宋_GB2312" w:cs="仿宋_GB2312"/>
          <w:sz w:val="32"/>
          <w:szCs w:val="32"/>
        </w:rPr>
        <w:t>调整响应级别，避免响应不足或过度。</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.4应急响应的终止</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患者病情稳定或好转，没有新发类似病例，事件得到有效控制后，根据相关单位和专家研判结果，经</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指挥部办公室提出终止应急响应的建议，由</w:t>
      </w:r>
      <w:r>
        <w:rPr>
          <w:rFonts w:hint="eastAsia" w:ascii="仿宋_GB2312" w:hAnsi="仿宋_GB2312" w:eastAsia="仿宋_GB2312" w:cs="仿宋_GB2312"/>
          <w:sz w:val="32"/>
          <w:szCs w:val="32"/>
          <w:lang w:eastAsia="zh-CN"/>
        </w:rPr>
        <w:t>聊城经济技术开发区管委会</w:t>
      </w:r>
      <w:r>
        <w:rPr>
          <w:rFonts w:hint="eastAsia" w:ascii="仿宋_GB2312" w:hAnsi="仿宋_GB2312" w:eastAsia="仿宋_GB2312" w:cs="仿宋_GB2312"/>
          <w:sz w:val="32"/>
          <w:szCs w:val="32"/>
        </w:rPr>
        <w:t>作出终止应急响应的决定。</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4.7信息发布与舆论引导</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4.7.1信息发布坚持实事求是、及时准确、科学公正的原则。</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4.7.2</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Ⅰ级（特别重大）药品安全事件信息由国家药品监督管理部门发布；Ⅱ级（重大）药品安全事件信息，经国家药品监督管理部门备案后，由省指挥部统一审核发布；Ⅲ级（较大）药品安全事件由市人民政府应急指挥机构统一审核发布，并报省政府和省市场监管局、省药监局备案；Ⅳ级（一般）药品安全事件由事</w:t>
      </w:r>
      <w:r>
        <w:rPr>
          <w:rFonts w:hint="eastAsia" w:ascii="仿宋_GB2312" w:hAnsi="仿宋_GB2312" w:eastAsia="仿宋_GB2312" w:cs="仿宋_GB2312"/>
          <w:sz w:val="32"/>
          <w:szCs w:val="32"/>
          <w:lang w:eastAsia="zh-CN"/>
        </w:rPr>
        <w:t>聊城经济技术开发区管委会</w:t>
      </w:r>
      <w:r>
        <w:rPr>
          <w:rFonts w:hint="eastAsia" w:ascii="仿宋_GB2312" w:hAnsi="仿宋_GB2312" w:eastAsia="仿宋_GB2312" w:cs="仿宋_GB2312"/>
          <w:sz w:val="32"/>
          <w:szCs w:val="32"/>
        </w:rPr>
        <w:t>应急指挥机构统一审核发布，并报</w:t>
      </w:r>
      <w:r>
        <w:rPr>
          <w:rFonts w:hint="eastAsia" w:ascii="仿宋_GB2312" w:hAnsi="仿宋_GB2312" w:eastAsia="仿宋_GB2312" w:cs="仿宋_GB2312"/>
          <w:sz w:val="32"/>
          <w:szCs w:val="32"/>
          <w:lang w:eastAsia="zh-CN"/>
        </w:rPr>
        <w:t>聊城市人民</w:t>
      </w:r>
      <w:r>
        <w:rPr>
          <w:rFonts w:hint="eastAsia" w:ascii="仿宋_GB2312" w:hAnsi="仿宋_GB2312" w:eastAsia="仿宋_GB2312" w:cs="仿宋_GB2312"/>
          <w:sz w:val="32"/>
          <w:szCs w:val="32"/>
        </w:rPr>
        <w:t>政府和</w:t>
      </w:r>
      <w:r>
        <w:rPr>
          <w:rFonts w:hint="eastAsia" w:ascii="仿宋_GB2312" w:hAnsi="仿宋_GB2312" w:eastAsia="仿宋_GB2312" w:cs="仿宋_GB2312"/>
          <w:sz w:val="32"/>
          <w:szCs w:val="32"/>
          <w:lang w:eastAsia="zh-CN"/>
        </w:rPr>
        <w:t>聊城市</w:t>
      </w:r>
      <w:r>
        <w:rPr>
          <w:rFonts w:hint="eastAsia" w:ascii="仿宋_GB2312" w:hAnsi="仿宋_GB2312" w:eastAsia="仿宋_GB2312" w:cs="仿宋_GB2312"/>
          <w:sz w:val="32"/>
          <w:szCs w:val="32"/>
        </w:rPr>
        <w:t>市场监管局备案。未经授权不得发布上述信息。另有特殊规定的，从其规定。</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.3事件发生后，应在第一时间向社会发布信息，并根据事件发展情况做好后续信息发布工作。</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.4信息发布形式以官方网站、政务新媒体等为主，必要时通过授权发布、组织报道、接受采访、举行新闻发布会等方式，做好舆论引导工作。</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5</w:t>
      </w:r>
      <w:r>
        <w:rPr>
          <w:rFonts w:hint="eastAsia" w:ascii="黑体" w:hAnsi="黑体" w:eastAsia="黑体" w:cs="黑体"/>
          <w:sz w:val="32"/>
          <w:szCs w:val="32"/>
          <w:lang w:val="en-US" w:eastAsia="zh-CN"/>
        </w:rPr>
        <w:t>.</w:t>
      </w:r>
      <w:r>
        <w:rPr>
          <w:rFonts w:hint="eastAsia" w:ascii="黑体" w:hAnsi="黑体" w:eastAsia="黑体" w:cs="黑体"/>
          <w:sz w:val="32"/>
          <w:szCs w:val="32"/>
        </w:rPr>
        <w:t>善后与总结</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5.1后续处置</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根据调查和认定的结论，依法对相关责任单位和责任人员采取处理措施，涉嫌销售假劣药品并构成犯罪的，及时移交公安机关并协助开展案件调查工作。</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确定为药品质量导致的，对相关企业采取监管措施，需要处罚的，依法对涉事企业进行处罚，涉嫌犯罪的移交公安机关。</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确定为临床用药不合理或错误导致的，对有关医疗卫生机构依法处理。</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确定为新的严重药品不良反应或医疗器械不良事件的，提出调整生产和使用政策建议。</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确定是其他原因引起的，按照有关规定处理。</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5.2补偿和补助</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药品安全事件后，各级政府应组织有关部门对应急处置期间紧急调集、征用有关单位、企业、个人的物资和劳务进行合理评估，给予补偿。</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5.3总结评估</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药品安全事件应急处置结束后，应及时对事件的应急处置工作进行总结评估，总结经验和教训，提出防范、整改措施和建议。</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6</w:t>
      </w:r>
      <w:r>
        <w:rPr>
          <w:rFonts w:hint="eastAsia" w:ascii="黑体" w:hAnsi="黑体" w:eastAsia="黑体" w:cs="黑体"/>
          <w:sz w:val="32"/>
          <w:szCs w:val="32"/>
          <w:lang w:val="en-US" w:eastAsia="zh-CN"/>
        </w:rPr>
        <w:t>.</w:t>
      </w:r>
      <w:r>
        <w:rPr>
          <w:rFonts w:hint="eastAsia" w:ascii="黑体" w:hAnsi="黑体" w:eastAsia="黑体" w:cs="黑体"/>
          <w:sz w:val="32"/>
          <w:szCs w:val="32"/>
        </w:rPr>
        <w:t>保障措施</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6.1组织保障</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各级政府应建立健全高效、统一的组织保障体系，做好药品安全事件应对准备。应加强药品安全应急队伍建设，提高应急水平和能力，确保在药品安全事件发生后，能及时有效完成处置工作。</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6.2资金和物资保障</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none"/>
          <w:lang w:val="en-US" w:eastAsia="zh-CN"/>
        </w:rPr>
        <w:t>各级</w:t>
      </w:r>
      <w:r>
        <w:rPr>
          <w:rFonts w:hint="eastAsia" w:ascii="仿宋_GB2312" w:hAnsi="仿宋_GB2312" w:eastAsia="仿宋_GB2312" w:cs="仿宋_GB2312"/>
          <w:sz w:val="32"/>
          <w:szCs w:val="32"/>
          <w:lang w:eastAsia="zh-CN"/>
        </w:rPr>
        <w:t>发展保障部</w:t>
      </w:r>
      <w:r>
        <w:rPr>
          <w:rFonts w:hint="eastAsia" w:ascii="仿宋_GB2312" w:hAnsi="仿宋_GB2312" w:eastAsia="仿宋_GB2312" w:cs="仿宋_GB2312"/>
          <w:sz w:val="32"/>
          <w:szCs w:val="32"/>
        </w:rPr>
        <w:t>负责按照规定做好药品安全事件应急基础设施项目立项审批工作。各级财政部门负责保障药品安全事件应急处置所需经费。各级政府及相关部门负责保障药品安全事件应急处置所需车辆、通讯、救治等设施、设备和物资的储备与调用；使用储备物资后需及时补充。</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6.3医疗救治</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药品安全事件造成人员伤害的，</w:t>
      </w:r>
      <w:r>
        <w:rPr>
          <w:rFonts w:hint="eastAsia" w:ascii="仿宋_GB2312" w:hAnsi="仿宋_GB2312" w:eastAsia="仿宋_GB2312" w:cs="仿宋_GB2312"/>
          <w:sz w:val="32"/>
          <w:szCs w:val="32"/>
          <w:lang w:eastAsia="zh-CN"/>
        </w:rPr>
        <w:t>开发区卫健管理办公室</w:t>
      </w:r>
      <w:r>
        <w:rPr>
          <w:rFonts w:hint="eastAsia" w:ascii="仿宋_GB2312" w:hAnsi="仿宋_GB2312" w:eastAsia="仿宋_GB2312" w:cs="仿宋_GB2312"/>
          <w:sz w:val="32"/>
          <w:szCs w:val="32"/>
        </w:rPr>
        <w:t>应当立即启动紧急医学救援工作，组织医疗救治人员赶赴现场，开展救治。</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6.4信息和技术保障</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政府应建立完善药品安全事件信息报告系统，畅通信息报告渠道，确保药品安全事件的及时报告与相关信息的及时收集。药品检查检验、安全风险监测评估、医疗卫生等应急处置专业技术机构，应结合本机构职责加强应急处置力量建设，提高快速应对能力和技术水平。加强药品安全事件监测、预警、预防和应急处置等技术研发，为药品安全事件应急处置提供技术保障。</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6.5培训演练和社会动员</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聊城经济技术开发区管委会要</w:t>
      </w:r>
      <w:r>
        <w:rPr>
          <w:rFonts w:hint="eastAsia" w:ascii="仿宋_GB2312" w:hAnsi="仿宋_GB2312" w:eastAsia="仿宋_GB2312" w:cs="仿宋_GB2312"/>
          <w:sz w:val="32"/>
          <w:szCs w:val="32"/>
        </w:rPr>
        <w:t>组织开展药品安全事件应急培训和演练。根据实际需要，动员和组织社会力量协助参与应急处置，必要时依法调用企业及个人物资。在动用社会力量或企业、个人物资进行应急处置后，应当及时归还或给予补偿。各级政府应当组织有关部门、单位对社会公众广泛开展药品安全事件应急知识的普及教育，指导群众提高自我保护意识和科学应对能力。</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7</w:t>
      </w:r>
      <w:r>
        <w:rPr>
          <w:rFonts w:hint="eastAsia" w:ascii="黑体" w:hAnsi="黑体" w:eastAsia="黑体" w:cs="黑体"/>
          <w:sz w:val="32"/>
          <w:szCs w:val="32"/>
          <w:lang w:val="en-US" w:eastAsia="zh-CN"/>
        </w:rPr>
        <w:t>.</w:t>
      </w:r>
      <w:r>
        <w:rPr>
          <w:rFonts w:hint="eastAsia" w:ascii="黑体" w:hAnsi="黑体" w:eastAsia="黑体" w:cs="黑体"/>
          <w:sz w:val="32"/>
          <w:szCs w:val="32"/>
        </w:rPr>
        <w:t>附则</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7.1预案管理</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药品</w:t>
      </w:r>
      <w:r>
        <w:rPr>
          <w:rFonts w:hint="eastAsia" w:ascii="仿宋_GB2312" w:hAnsi="仿宋_GB2312" w:eastAsia="仿宋_GB2312" w:cs="仿宋_GB2312"/>
          <w:sz w:val="32"/>
          <w:szCs w:val="32"/>
          <w:lang w:eastAsia="zh-CN"/>
        </w:rPr>
        <w:t>零售</w:t>
      </w:r>
      <w:r>
        <w:rPr>
          <w:rFonts w:hint="eastAsia" w:ascii="仿宋_GB2312" w:hAnsi="仿宋_GB2312" w:eastAsia="仿宋_GB2312" w:cs="仿宋_GB2312"/>
          <w:sz w:val="32"/>
          <w:szCs w:val="32"/>
        </w:rPr>
        <w:t>企业和医疗卫生机构等应当制定本单位的药品安全事件处置方案，并组织开展培训和应急演练。</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7.2预案解释</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本预案由</w:t>
      </w:r>
      <w:r>
        <w:rPr>
          <w:rFonts w:hint="eastAsia" w:ascii="仿宋_GB2312" w:hAnsi="仿宋_GB2312" w:eastAsia="仿宋_GB2312" w:cs="仿宋_GB2312"/>
          <w:sz w:val="32"/>
          <w:szCs w:val="32"/>
          <w:lang w:eastAsia="zh-CN"/>
        </w:rPr>
        <w:t>聊城经济技术开发区市场监管部</w:t>
      </w:r>
      <w:r>
        <w:rPr>
          <w:rFonts w:hint="eastAsia" w:ascii="仿宋_GB2312" w:hAnsi="仿宋_GB2312" w:eastAsia="仿宋_GB2312" w:cs="仿宋_GB2312"/>
          <w:sz w:val="32"/>
          <w:szCs w:val="32"/>
        </w:rPr>
        <w:t>负责解释，并根据实施过程中发现的问题及时修订。</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7.3预案实施</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rPr>
      </w:pPr>
      <w:r>
        <w:rPr>
          <w:rFonts w:hint="eastAsia" w:ascii="仿宋_GB2312" w:hAnsi="仿宋_GB2312" w:eastAsia="仿宋_GB2312" w:cs="仿宋_GB2312"/>
          <w:sz w:val="32"/>
          <w:szCs w:val="32"/>
        </w:rPr>
        <w:t>本预案自发布之日起施行 。</w:t>
      </w:r>
    </w:p>
    <w:p>
      <w:pPr>
        <w:keepNext w:val="0"/>
        <w:keepLines w:val="0"/>
        <w:pageBreakBefore w:val="0"/>
        <w:widowControl w:val="0"/>
        <w:kinsoku/>
        <w:wordWrap/>
        <w:overflowPunct/>
        <w:topLinePunct w:val="0"/>
        <w:autoSpaceDE/>
        <w:autoSpaceDN/>
        <w:bidi w:val="0"/>
        <w:adjustRightInd/>
        <w:snapToGrid/>
        <w:spacing w:line="576" w:lineRule="exact"/>
        <w:ind w:left="0" w:left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rPr>
        <w:t>附件：1.药品安全事件分级标准</w:t>
      </w:r>
    </w:p>
    <w:p>
      <w:pPr>
        <w:keepNext w:val="0"/>
        <w:keepLines w:val="0"/>
        <w:pageBreakBefore w:val="0"/>
        <w:widowControl w:val="0"/>
        <w:kinsoku/>
        <w:wordWrap/>
        <w:overflowPunct/>
        <w:topLinePunct w:val="0"/>
        <w:autoSpaceDE/>
        <w:autoSpaceDN/>
        <w:bidi w:val="0"/>
        <w:adjustRightInd/>
        <w:snapToGrid/>
        <w:spacing w:line="576" w:lineRule="exact"/>
        <w:ind w:firstLine="1600" w:firstLineChars="500"/>
        <w:jc w:val="left"/>
        <w:textAlignment w:val="auto"/>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rPr>
        <w:t>2.</w:t>
      </w:r>
      <w:r>
        <w:rPr>
          <w:rFonts w:hint="eastAsia" w:ascii="仿宋_GB2312" w:hAnsi="仿宋_GB2312" w:eastAsia="仿宋_GB2312" w:cs="仿宋_GB2312"/>
          <w:w w:val="100"/>
          <w:sz w:val="32"/>
          <w:szCs w:val="32"/>
          <w:lang w:eastAsia="zh-CN"/>
        </w:rPr>
        <w:t>聊城经济技术开发区</w:t>
      </w:r>
      <w:r>
        <w:rPr>
          <w:rFonts w:hint="eastAsia" w:ascii="仿宋_GB2312" w:hAnsi="仿宋_GB2312" w:eastAsia="仿宋_GB2312" w:cs="仿宋_GB2312"/>
          <w:w w:val="100"/>
          <w:sz w:val="32"/>
          <w:szCs w:val="32"/>
        </w:rPr>
        <w:t>药品安全事件相关部门</w:t>
      </w:r>
      <w:r>
        <w:rPr>
          <w:rFonts w:hint="eastAsia" w:ascii="仿宋_GB2312" w:hAnsi="仿宋_GB2312" w:eastAsia="仿宋_GB2312" w:cs="仿宋_GB2312"/>
          <w:w w:val="100"/>
          <w:sz w:val="32"/>
          <w:szCs w:val="32"/>
          <w:highlight w:val="none"/>
        </w:rPr>
        <w:t>职责</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p>
    <w:p>
      <w:pPr>
        <w:pStyle w:val="3"/>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3"/>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3"/>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黑体" w:hAnsi="黑体" w:eastAsia="黑体" w:cs="黑体"/>
          <w:sz w:val="32"/>
          <w:szCs w:val="32"/>
        </w:rPr>
      </w:pPr>
      <w:r>
        <w:rPr>
          <w:rFonts w:hint="eastAsia" w:ascii="黑体" w:hAnsi="黑体" w:eastAsia="黑体" w:cs="黑体"/>
          <w:sz w:val="32"/>
          <w:szCs w:val="32"/>
        </w:rPr>
        <w:t>附件1</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1760" w:firstLineChars="400"/>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1760" w:firstLineChars="400"/>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药品安全事件分级标准</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一、Ⅰ级（特别重大）药品安全事件</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在相对集中的时间和（或）区域内，批号相对集中的同一药品引起临床表现相似的，且罕见的或非预期的不良事件的人数超过50人（含）；或者引起特别严重不良事件（可能对人体造成永久性伤残、对器官功能造成永久性损伤或危及生命）的人数超过10人（含）。</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（二）同一批号药品短期内引起3例（含）以上患者死亡。</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（三）短期内2个以上省（区、市）因同一药品发生Ⅱ级药品安全事件。</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（四）其他危害特别严重的药品安全事件。</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二、Ⅱ级（重大）药品安全事件</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在相对集中的时间和（或）区域内，批号相对集中的同一药品引起临床表现相似的，且罕见的或非预期的不良事件的人数超过30人（含），少于50人；或者引起特别严重不良事件（可能对人体造成永久性伤残、对器官功能造成永久性损伤或危及生命），涉及人数超过5人（含）。</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（二）同一批号药品短期内引起1至2例患者死亡，且在同一区域内同时出现其他类似病例。</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（三）短期内1个省（区、市）内2个以上市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因同一药品发生Ⅲ级药品安全事件。</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（四）其他危害严重的重大药品安全事件。</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三、Ⅲ级（较大）药品安全事件</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在相对集中的时间和（或）区域内，批号相对集中的同一药品引起临床表现相似的，且罕见的或非预期的不良事件的人数超过20人（含），少于30人；或者引起特别严重不良事件（可能对人体造成永久性伤残、对器官功能造成永久性损伤或危及生命），涉及人数超过3人（含）。</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（二）短期内1个市（地）内2个以上县（市、区）因同一药品发生Ⅳ级药品安全事件。</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（三）其他危害较大的药品安全事件。</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四、Ⅳ级（一般）药品安全事件</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在相对集中的时间和（或）区域内，批号相对集中的同一药品引起临床表现相似的，且罕见的或非预期的不良事件的人数超过10人（含），少于20人；或者引起特别严重不良事件（可能对人体造成永久性伤残、对器官功能造成永久性损伤或危及生命），涉及人数超过2人（含）。</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（二）其他一般药品安全事件。</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黑体" w:hAnsi="黑体" w:eastAsia="黑体" w:cs="黑体"/>
          <w:sz w:val="32"/>
          <w:szCs w:val="32"/>
        </w:rPr>
      </w:pPr>
      <w:r>
        <w:rPr>
          <w:rFonts w:hint="eastAsia" w:ascii="黑体" w:hAnsi="黑体" w:eastAsia="黑体" w:cs="黑体"/>
          <w:sz w:val="32"/>
          <w:szCs w:val="32"/>
        </w:rPr>
        <w:t>附件2</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聊城经济技术开发区</w:t>
      </w:r>
      <w:r>
        <w:rPr>
          <w:rFonts w:hint="eastAsia" w:ascii="方正小标宋简体" w:hAnsi="方正小标宋简体" w:eastAsia="方正小标宋简体" w:cs="方正小标宋简体"/>
          <w:sz w:val="44"/>
          <w:szCs w:val="44"/>
        </w:rPr>
        <w:t>药品安全事件</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相关部门职责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eastAsia="zh-CN"/>
        </w:rPr>
        <w:t>管委会办公室</w:t>
      </w:r>
      <w:r>
        <w:rPr>
          <w:rFonts w:hint="eastAsia" w:ascii="黑体" w:hAnsi="黑体" w:eastAsia="黑体" w:cs="黑体"/>
          <w:sz w:val="32"/>
          <w:szCs w:val="32"/>
        </w:rPr>
        <w:t>：</w:t>
      </w:r>
      <w:r>
        <w:rPr>
          <w:rFonts w:hint="eastAsia" w:ascii="仿宋_GB2312" w:hAnsi="仿宋_GB2312" w:eastAsia="仿宋_GB2312" w:cs="仿宋_GB2312"/>
          <w:color w:val="auto"/>
          <w:sz w:val="32"/>
          <w:szCs w:val="32"/>
        </w:rPr>
        <w:t>配合协调药品安全事件应急处置信息化应用。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宣传</w:t>
      </w:r>
      <w:r>
        <w:rPr>
          <w:rFonts w:hint="eastAsia" w:ascii="黑体" w:hAnsi="黑体" w:eastAsia="黑体" w:cs="黑体"/>
          <w:sz w:val="32"/>
          <w:szCs w:val="32"/>
          <w:lang w:eastAsia="zh-CN"/>
        </w:rPr>
        <w:t>办公室</w:t>
      </w:r>
      <w:r>
        <w:rPr>
          <w:rFonts w:hint="eastAsia" w:ascii="黑体" w:hAnsi="黑体" w:eastAsia="黑体" w:cs="黑体"/>
          <w:sz w:val="32"/>
          <w:szCs w:val="32"/>
        </w:rPr>
        <w:t>：</w:t>
      </w:r>
      <w:r>
        <w:rPr>
          <w:rFonts w:hint="eastAsia" w:ascii="仿宋_GB2312" w:hAnsi="仿宋_GB2312" w:eastAsia="仿宋_GB2312" w:cs="仿宋_GB2312"/>
          <w:color w:val="auto"/>
          <w:sz w:val="32"/>
          <w:szCs w:val="32"/>
        </w:rPr>
        <w:t>负责指导药品安全事件网络媒体舆论引导和网络信息监控工作。</w:t>
      </w:r>
      <w:r>
        <w:rPr>
          <w:rFonts w:hint="eastAsia" w:ascii="仿宋_GB2312" w:hAnsi="仿宋_GB2312" w:eastAsia="仿宋_GB2312" w:cs="仿宋_GB2312"/>
          <w:sz w:val="32"/>
          <w:szCs w:val="32"/>
        </w:rPr>
        <w:t>负责指导、协调药品安全事件应急处置的信息发布、宣传报道和舆情处置工作。协调广播电视播出机构宣传党和政府药品安全事件应急处置的方针政策和有关规定，宣传党和政府采取的措施、所做的工作；组织开展相关知识、法律法规和先进人物、事迹的宣传报道。</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sz w:val="32"/>
          <w:szCs w:val="32"/>
          <w:lang w:eastAsia="zh-CN"/>
        </w:rPr>
        <w:t>党群工作</w:t>
      </w:r>
      <w:r>
        <w:rPr>
          <w:rFonts w:hint="eastAsia" w:ascii="黑体" w:hAnsi="黑体" w:eastAsia="黑体" w:cs="黑体"/>
          <w:sz w:val="32"/>
          <w:szCs w:val="32"/>
        </w:rPr>
        <w:t>部：</w:t>
      </w:r>
      <w:r>
        <w:rPr>
          <w:rFonts w:hint="eastAsia" w:ascii="仿宋_GB2312" w:hAnsi="仿宋_GB2312" w:eastAsia="仿宋_GB2312" w:cs="仿宋_GB2312"/>
          <w:color w:val="auto"/>
          <w:sz w:val="32"/>
          <w:szCs w:val="32"/>
        </w:rPr>
        <w:t>负责协调指导药品安全事件中涉台港澳人员的处置工作。负责组织制订落实参与药品安全事件应急处置工作人员的工伤保险和表彰奖励等政策。</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sz w:val="32"/>
          <w:szCs w:val="32"/>
          <w:lang w:eastAsia="zh-CN"/>
        </w:rPr>
        <w:t>经济发展部</w:t>
      </w:r>
      <w:r>
        <w:rPr>
          <w:rFonts w:hint="eastAsia" w:ascii="黑体" w:hAnsi="黑体" w:eastAsia="黑体" w:cs="黑体"/>
          <w:sz w:val="32"/>
          <w:szCs w:val="32"/>
        </w:rPr>
        <w:t>：</w:t>
      </w:r>
      <w:r>
        <w:rPr>
          <w:rFonts w:hint="eastAsia" w:ascii="仿宋_GB2312" w:hAnsi="仿宋_GB2312" w:eastAsia="仿宋_GB2312" w:cs="仿宋_GB2312"/>
          <w:sz w:val="32"/>
          <w:szCs w:val="32"/>
        </w:rPr>
        <w:t>负责组织协调药品安全事件应急处置期间煤、电、油、气以及其他重要物资的紧急调度和交通运输综合协调；负责药品安全事件应急处置能源供应保障工作。负责药品安全事件涉及的生活类救灾物资的收储管理工作。</w:t>
      </w:r>
      <w:r>
        <w:rPr>
          <w:rFonts w:hint="eastAsia" w:ascii="仿宋_GB2312" w:hAnsi="仿宋_GB2312" w:eastAsia="仿宋_GB2312" w:cs="仿宋_GB2312"/>
          <w:color w:val="auto"/>
          <w:sz w:val="32"/>
          <w:szCs w:val="32"/>
        </w:rPr>
        <w:t>负责组织科研力量，对药品安全事件应急处置技术开展科研攻关，协调解决检测技术、药物研发和应用中的科技问题。负责组织协调药品安全事件应急处置所需物资的生产供应工作；负责组织、协调各基础电信运营企业为药品安全事件应急处置提供应急通信保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教体分局</w:t>
      </w:r>
      <w:r>
        <w:rPr>
          <w:rFonts w:hint="eastAsia" w:ascii="黑体" w:hAnsi="黑体" w:eastAsia="黑体" w:cs="黑体"/>
          <w:sz w:val="32"/>
          <w:szCs w:val="32"/>
        </w:rPr>
        <w:t>：</w:t>
      </w:r>
      <w:r>
        <w:rPr>
          <w:rFonts w:hint="eastAsia" w:ascii="仿宋_GB2312" w:hAnsi="仿宋_GB2312" w:eastAsia="仿宋_GB2312" w:cs="仿宋_GB2312"/>
          <w:sz w:val="32"/>
          <w:szCs w:val="32"/>
        </w:rPr>
        <w:t>负责加强在校师生员工对药品安全事件预防控制措施的宣传教育，提高其自我防护意识和能力。</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公安</w:t>
      </w:r>
      <w:r>
        <w:rPr>
          <w:rFonts w:hint="eastAsia" w:ascii="黑体" w:hAnsi="黑体" w:eastAsia="黑体" w:cs="黑体"/>
          <w:sz w:val="32"/>
          <w:szCs w:val="32"/>
          <w:lang w:eastAsia="zh-CN"/>
        </w:rPr>
        <w:t>分</w:t>
      </w:r>
      <w:r>
        <w:rPr>
          <w:rFonts w:hint="eastAsia" w:ascii="黑体" w:hAnsi="黑体" w:eastAsia="黑体" w:cs="黑体"/>
          <w:sz w:val="32"/>
          <w:szCs w:val="32"/>
        </w:rPr>
        <w:t>局：</w:t>
      </w:r>
      <w:r>
        <w:rPr>
          <w:rFonts w:hint="eastAsia" w:ascii="仿宋_GB2312" w:hAnsi="仿宋_GB2312" w:eastAsia="仿宋_GB2312" w:cs="仿宋_GB2312"/>
          <w:sz w:val="32"/>
          <w:szCs w:val="32"/>
        </w:rPr>
        <w:t>负责组织、指导、协调药品安全事件涉嫌犯罪案件的侦查和先期处置及治安维护工作。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政法维稳处</w:t>
      </w:r>
      <w:r>
        <w:rPr>
          <w:rFonts w:hint="eastAsia" w:ascii="黑体" w:hAnsi="黑体" w:eastAsia="黑体" w:cs="黑体"/>
          <w:sz w:val="32"/>
          <w:szCs w:val="32"/>
        </w:rPr>
        <w:t>：</w:t>
      </w:r>
      <w:r>
        <w:rPr>
          <w:rFonts w:hint="eastAsia" w:ascii="仿宋_GB2312" w:hAnsi="仿宋_GB2312" w:eastAsia="仿宋_GB2312" w:cs="仿宋_GB2312"/>
          <w:sz w:val="32"/>
          <w:szCs w:val="32"/>
        </w:rPr>
        <w:t>负责药品安全事件应急处置相关行政规范性文件的合法性审核；组织开展矛盾纠纷排查化解和社区矫正对象管控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配合做好药品安全事件信访问题协调、应急处置工作。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sz w:val="32"/>
          <w:szCs w:val="32"/>
          <w:lang w:eastAsia="zh-CN"/>
        </w:rPr>
        <w:t>财政金融部</w:t>
      </w:r>
      <w:r>
        <w:rPr>
          <w:rFonts w:hint="eastAsia" w:ascii="黑体" w:hAnsi="黑体" w:eastAsia="黑体" w:cs="黑体"/>
          <w:sz w:val="32"/>
          <w:szCs w:val="32"/>
        </w:rPr>
        <w:t>：</w:t>
      </w:r>
      <w:r>
        <w:rPr>
          <w:rFonts w:hint="eastAsia" w:ascii="仿宋_GB2312" w:hAnsi="仿宋_GB2312" w:eastAsia="仿宋_GB2312" w:cs="仿宋_GB2312"/>
          <w:color w:val="auto"/>
          <w:sz w:val="32"/>
          <w:szCs w:val="32"/>
        </w:rPr>
        <w:t>负责做好需由</w:t>
      </w:r>
      <w:r>
        <w:rPr>
          <w:rFonts w:hint="eastAsia" w:ascii="仿宋_GB2312" w:hAnsi="仿宋_GB2312" w:eastAsia="仿宋_GB2312" w:cs="仿宋_GB2312"/>
          <w:color w:val="auto"/>
          <w:sz w:val="32"/>
          <w:szCs w:val="32"/>
          <w:lang w:eastAsia="zh-CN"/>
        </w:rPr>
        <w:t>开发区</w:t>
      </w:r>
      <w:r>
        <w:rPr>
          <w:rFonts w:hint="eastAsia" w:ascii="仿宋_GB2312" w:hAnsi="仿宋_GB2312" w:eastAsia="仿宋_GB2312" w:cs="仿宋_GB2312"/>
          <w:color w:val="auto"/>
          <w:sz w:val="32"/>
          <w:szCs w:val="32"/>
        </w:rPr>
        <w:t>财政承担的药品安全事件经费保障工作。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生态环境</w:t>
      </w:r>
      <w:r>
        <w:rPr>
          <w:rFonts w:hint="eastAsia" w:ascii="黑体" w:hAnsi="黑体" w:eastAsia="黑体" w:cs="黑体"/>
          <w:sz w:val="32"/>
          <w:szCs w:val="32"/>
          <w:lang w:eastAsia="zh-CN"/>
        </w:rPr>
        <w:t>分</w:t>
      </w:r>
      <w:r>
        <w:rPr>
          <w:rFonts w:hint="eastAsia" w:ascii="黑体" w:hAnsi="黑体" w:eastAsia="黑体" w:cs="黑体"/>
          <w:sz w:val="32"/>
          <w:szCs w:val="32"/>
        </w:rPr>
        <w:t>局：</w:t>
      </w:r>
      <w:r>
        <w:rPr>
          <w:rFonts w:hint="eastAsia" w:ascii="仿宋_GB2312" w:hAnsi="仿宋_GB2312" w:eastAsia="仿宋_GB2312" w:cs="仿宋_GB2312"/>
          <w:sz w:val="32"/>
          <w:szCs w:val="32"/>
        </w:rPr>
        <w:t>负责与放射性药物有关的辐射安全与防护的监督管理和应急处理；负责医疗废物收集、运送、贮存、处置等环境污染防治监督管理工作。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sz w:val="32"/>
          <w:szCs w:val="32"/>
          <w:lang w:eastAsia="zh-CN"/>
        </w:rPr>
        <w:t>建设管理部</w:t>
      </w:r>
      <w:r>
        <w:rPr>
          <w:rFonts w:hint="eastAsia" w:ascii="黑体" w:hAnsi="黑体" w:eastAsia="黑体" w:cs="黑体"/>
          <w:sz w:val="32"/>
          <w:szCs w:val="32"/>
        </w:rPr>
        <w:t>：</w:t>
      </w:r>
      <w:r>
        <w:rPr>
          <w:rFonts w:hint="eastAsia" w:ascii="仿宋_GB2312" w:hAnsi="仿宋_GB2312" w:eastAsia="仿宋_GB2312" w:cs="仿宋_GB2312"/>
          <w:color w:val="auto"/>
          <w:sz w:val="32"/>
          <w:szCs w:val="32"/>
        </w:rPr>
        <w:t>组织协调公路、水路交通运输保障工作，保障药品安全事件应急处置人员和药品、医疗卫生设备和器材、快速检验检测技术和试剂等的优先快速通行。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农业农村</w:t>
      </w:r>
      <w:r>
        <w:rPr>
          <w:rFonts w:hint="eastAsia" w:ascii="黑体" w:hAnsi="黑体" w:eastAsia="黑体" w:cs="黑体"/>
          <w:sz w:val="32"/>
          <w:szCs w:val="32"/>
          <w:lang w:eastAsia="zh-CN"/>
        </w:rPr>
        <w:t>分</w:t>
      </w:r>
      <w:r>
        <w:rPr>
          <w:rFonts w:hint="eastAsia" w:ascii="黑体" w:hAnsi="黑体" w:eastAsia="黑体" w:cs="黑体"/>
          <w:sz w:val="32"/>
          <w:szCs w:val="32"/>
        </w:rPr>
        <w:t>局：</w:t>
      </w:r>
      <w:r>
        <w:rPr>
          <w:rFonts w:hint="eastAsia" w:ascii="仿宋_GB2312" w:hAnsi="仿宋_GB2312" w:eastAsia="仿宋_GB2312" w:cs="仿宋_GB2312"/>
          <w:sz w:val="32"/>
          <w:szCs w:val="32"/>
        </w:rPr>
        <w:t>负责中药材从种养殖环节到进入批发市场、零售市场、生产加工企业前的质量安全应急处置；依法开展中药材种植养殖环节质量安全监测和质量安全风险评估、预警分析和信息发布，向有关部门通报中药材质量安全风险信息。</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商务</w:t>
      </w:r>
      <w:r>
        <w:rPr>
          <w:rFonts w:hint="eastAsia" w:ascii="黑体" w:hAnsi="黑体" w:eastAsia="黑体" w:cs="黑体"/>
          <w:sz w:val="32"/>
          <w:szCs w:val="32"/>
          <w:lang w:eastAsia="zh-CN"/>
        </w:rPr>
        <w:t>和</w:t>
      </w:r>
      <w:r>
        <w:rPr>
          <w:rFonts w:hint="eastAsia" w:ascii="黑体" w:hAnsi="黑体" w:eastAsia="黑体" w:cs="黑体"/>
          <w:sz w:val="32"/>
          <w:szCs w:val="32"/>
        </w:rPr>
        <w:t>投资促进</w:t>
      </w:r>
      <w:r>
        <w:rPr>
          <w:rFonts w:hint="eastAsia" w:ascii="黑体" w:hAnsi="黑体" w:eastAsia="黑体" w:cs="黑体"/>
          <w:sz w:val="32"/>
          <w:szCs w:val="32"/>
          <w:lang w:eastAsia="zh-CN"/>
        </w:rPr>
        <w:t>部</w:t>
      </w:r>
      <w:r>
        <w:rPr>
          <w:rFonts w:hint="eastAsia" w:ascii="黑体" w:hAnsi="黑体" w:eastAsia="黑体" w:cs="黑体"/>
          <w:sz w:val="32"/>
          <w:szCs w:val="32"/>
        </w:rPr>
        <w:t>：</w:t>
      </w:r>
      <w:r>
        <w:rPr>
          <w:rFonts w:hint="eastAsia" w:ascii="仿宋_GB2312" w:hAnsi="仿宋_GB2312" w:eastAsia="仿宋_GB2312" w:cs="仿宋_GB2312"/>
          <w:sz w:val="32"/>
          <w:szCs w:val="32"/>
        </w:rPr>
        <w:t>负责组织药品安全事件生活必需品市场供应，负责建立健全生活必需品、重要消费品市场供应应急管理机制。</w:t>
      </w:r>
      <w:r>
        <w:rPr>
          <w:rFonts w:hint="eastAsia" w:ascii="仿宋_GB2312" w:hAnsi="仿宋_GB2312" w:eastAsia="仿宋_GB2312" w:cs="仿宋_GB2312"/>
          <w:color w:val="auto"/>
          <w:sz w:val="32"/>
          <w:szCs w:val="32"/>
        </w:rPr>
        <w:t>负责协调指导药品安全事件涉外事宜的处置工作。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卫健管理</w:t>
      </w:r>
      <w:r>
        <w:rPr>
          <w:rFonts w:hint="eastAsia" w:ascii="黑体" w:hAnsi="黑体" w:eastAsia="黑体" w:cs="黑体"/>
          <w:sz w:val="32"/>
          <w:szCs w:val="32"/>
          <w:lang w:val="en-US" w:eastAsia="zh-CN"/>
        </w:rPr>
        <w:t>办公室</w:t>
      </w:r>
      <w:r>
        <w:rPr>
          <w:rFonts w:hint="eastAsia" w:ascii="黑体" w:hAnsi="黑体" w:eastAsia="黑体" w:cs="黑体"/>
          <w:sz w:val="32"/>
          <w:szCs w:val="32"/>
        </w:rPr>
        <w:t>：</w:t>
      </w:r>
      <w:r>
        <w:rPr>
          <w:rFonts w:hint="eastAsia" w:ascii="仿宋_GB2312" w:hAnsi="仿宋_GB2312" w:eastAsia="仿宋_GB2312" w:cs="仿宋_GB2312"/>
          <w:sz w:val="32"/>
          <w:szCs w:val="32"/>
        </w:rPr>
        <w:t>负责药品安全事件发生后的医疗救治工作；配合市场监管部门做好药品安全事件的调查处理；负责医疗卫生机构药事管理和使用环节的医疗器械使用行为的监督管理；加强安全用药、合理用药的宣传教育。</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sz w:val="32"/>
          <w:szCs w:val="32"/>
          <w:lang w:eastAsia="zh-CN"/>
        </w:rPr>
        <w:t>应急管理处</w:t>
      </w:r>
      <w:r>
        <w:rPr>
          <w:rFonts w:hint="eastAsia" w:ascii="黑体" w:hAnsi="黑体" w:eastAsia="黑体" w:cs="黑体"/>
          <w:sz w:val="32"/>
          <w:szCs w:val="32"/>
        </w:rPr>
        <w:t>：</w:t>
      </w:r>
      <w:r>
        <w:rPr>
          <w:rFonts w:hint="eastAsia" w:ascii="仿宋_GB2312" w:hAnsi="仿宋_GB2312" w:eastAsia="仿宋_GB2312" w:cs="仿宋_GB2312"/>
          <w:color w:val="auto"/>
          <w:sz w:val="32"/>
          <w:szCs w:val="32"/>
        </w:rPr>
        <w:t>指导协调有关地方政府做好药品安全事件受灾群众的转移、安置和生活救助工作；负责应急处置所需物资、设备生产经营活动的安全生产综合监督管理工作。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市场</w:t>
      </w:r>
      <w:r>
        <w:rPr>
          <w:rFonts w:hint="eastAsia" w:ascii="黑体" w:hAnsi="黑体" w:eastAsia="黑体" w:cs="黑体"/>
          <w:sz w:val="32"/>
          <w:szCs w:val="32"/>
          <w:lang w:val="en-US" w:eastAsia="zh-CN"/>
        </w:rPr>
        <w:t>监督管理</w:t>
      </w:r>
      <w:r>
        <w:rPr>
          <w:rFonts w:hint="eastAsia" w:ascii="黑体" w:hAnsi="黑体" w:eastAsia="黑体" w:cs="黑体"/>
          <w:sz w:val="32"/>
          <w:szCs w:val="32"/>
          <w:lang w:eastAsia="zh-CN"/>
        </w:rPr>
        <w:t>部</w:t>
      </w:r>
      <w:r>
        <w:rPr>
          <w:rFonts w:hint="eastAsia" w:ascii="黑体" w:hAnsi="黑体" w:eastAsia="黑体" w:cs="黑体"/>
          <w:sz w:val="32"/>
          <w:szCs w:val="32"/>
        </w:rPr>
        <w:t>：</w:t>
      </w:r>
      <w:r>
        <w:rPr>
          <w:rFonts w:hint="eastAsia" w:ascii="仿宋_GB2312" w:hAnsi="仿宋_GB2312" w:eastAsia="仿宋_GB2312" w:cs="仿宋_GB2312"/>
          <w:sz w:val="32"/>
          <w:szCs w:val="32"/>
        </w:rPr>
        <w:t>负责</w:t>
      </w:r>
      <w:r>
        <w:rPr>
          <w:rFonts w:hint="eastAsia" w:ascii="仿宋_GB2312" w:hAnsi="仿宋_GB2312" w:eastAsia="仿宋_GB2312" w:cs="仿宋_GB2312"/>
          <w:sz w:val="32"/>
          <w:szCs w:val="32"/>
          <w:lang w:eastAsia="zh-CN"/>
        </w:rPr>
        <w:t>聊城经济技术开发区</w:t>
      </w:r>
      <w:r>
        <w:rPr>
          <w:rFonts w:hint="eastAsia" w:ascii="仿宋_GB2312" w:hAnsi="仿宋_GB2312" w:eastAsia="仿宋_GB2312" w:cs="仿宋_GB2312"/>
          <w:sz w:val="32"/>
          <w:szCs w:val="32"/>
        </w:rPr>
        <w:t>指挥部办公室日常工作，落实办公室各项职责；组织、指导、监督、协调开展药品安全事件应急处置及调查处理。依法查处虚假宣传违法广告；查处借机囤积居奇、哄抬物价等违法行为，维护正常市场秩序。</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 w:hAnsi="仿宋" w:eastAsia="仿宋" w:cs="仿宋"/>
          <w:sz w:val="32"/>
          <w:szCs w:val="32"/>
          <w:lang w:eastAsia="zh-CN"/>
        </w:rPr>
      </w:pPr>
    </w:p>
    <w:p>
      <w:pPr>
        <w:pStyle w:val="7"/>
        <w:keepNext w:val="0"/>
        <w:keepLines w:val="0"/>
        <w:pageBreakBefore w:val="0"/>
        <w:kinsoku/>
        <w:wordWrap/>
        <w:overflowPunct/>
        <w:topLinePunct w:val="0"/>
        <w:autoSpaceDE/>
        <w:autoSpaceDN/>
        <w:bidi w:val="0"/>
        <w:adjustRightInd/>
        <w:snapToGrid/>
        <w:spacing w:beforeAutospacing="0" w:afterAutospacing="0" w:line="576" w:lineRule="exact"/>
        <w:jc w:val="both"/>
        <w:textAlignment w:val="auto"/>
        <w:rPr>
          <w:rFonts w:hint="eastAsia" w:ascii="方正小标宋简体" w:hAnsi="方正小标宋简体" w:eastAsia="方正小标宋简体" w:cs="方正小标宋简体"/>
          <w:b w:val="0"/>
          <w:bCs/>
          <w:kern w:val="2"/>
          <w:sz w:val="44"/>
          <w:szCs w:val="44"/>
          <w:lang w:val="en" w:eastAsia="zh-CN"/>
        </w:rPr>
      </w:pPr>
    </w:p>
    <w:p>
      <w:pPr>
        <w:pStyle w:val="7"/>
        <w:keepNext w:val="0"/>
        <w:keepLines w:val="0"/>
        <w:pageBreakBefore w:val="0"/>
        <w:kinsoku/>
        <w:wordWrap/>
        <w:overflowPunct/>
        <w:topLinePunct w:val="0"/>
        <w:autoSpaceDE/>
        <w:autoSpaceDN/>
        <w:bidi w:val="0"/>
        <w:adjustRightInd/>
        <w:snapToGrid/>
        <w:spacing w:beforeAutospacing="0" w:afterAutospacing="0" w:line="576" w:lineRule="exact"/>
        <w:jc w:val="both"/>
        <w:textAlignment w:val="auto"/>
        <w:rPr>
          <w:rFonts w:hint="eastAsia" w:ascii="方正小标宋简体" w:hAnsi="方正小标宋简体" w:eastAsia="方正小标宋简体" w:cs="方正小标宋简体"/>
          <w:b w:val="0"/>
          <w:bCs/>
          <w:kern w:val="2"/>
          <w:sz w:val="44"/>
          <w:szCs w:val="44"/>
          <w:lang w:val="en" w:eastAsia="zh-CN"/>
        </w:rPr>
      </w:pPr>
    </w:p>
    <w:p>
      <w:pPr>
        <w:pStyle w:val="7"/>
        <w:keepNext w:val="0"/>
        <w:keepLines w:val="0"/>
        <w:pageBreakBefore w:val="0"/>
        <w:kinsoku/>
        <w:wordWrap/>
        <w:overflowPunct/>
        <w:topLinePunct w:val="0"/>
        <w:autoSpaceDE/>
        <w:autoSpaceDN/>
        <w:bidi w:val="0"/>
        <w:adjustRightInd/>
        <w:snapToGrid/>
        <w:spacing w:beforeAutospacing="0" w:afterAutospacing="0" w:line="576" w:lineRule="exact"/>
        <w:jc w:val="both"/>
        <w:textAlignment w:val="auto"/>
        <w:rPr>
          <w:rFonts w:hint="eastAsia" w:ascii="方正小标宋简体" w:hAnsi="方正小标宋简体" w:eastAsia="方正小标宋简体" w:cs="方正小标宋简体"/>
          <w:b w:val="0"/>
          <w:bCs/>
          <w:kern w:val="2"/>
          <w:sz w:val="44"/>
          <w:szCs w:val="44"/>
          <w:lang w:val="en" w:eastAsia="zh-CN"/>
        </w:rPr>
      </w:pPr>
    </w:p>
    <w:p>
      <w:pPr>
        <w:pStyle w:val="7"/>
        <w:keepNext w:val="0"/>
        <w:keepLines w:val="0"/>
        <w:pageBreakBefore w:val="0"/>
        <w:kinsoku/>
        <w:wordWrap/>
        <w:overflowPunct/>
        <w:topLinePunct w:val="0"/>
        <w:autoSpaceDE/>
        <w:autoSpaceDN/>
        <w:bidi w:val="0"/>
        <w:adjustRightInd/>
        <w:snapToGrid/>
        <w:spacing w:beforeAutospacing="0" w:afterAutospacing="0" w:line="576" w:lineRule="exact"/>
        <w:jc w:val="both"/>
        <w:textAlignment w:val="auto"/>
        <w:rPr>
          <w:rFonts w:hint="eastAsia" w:ascii="方正小标宋简体" w:hAnsi="方正小标宋简体" w:eastAsia="方正小标宋简体" w:cs="方正小标宋简体"/>
          <w:b w:val="0"/>
          <w:bCs/>
          <w:kern w:val="2"/>
          <w:sz w:val="44"/>
          <w:szCs w:val="44"/>
          <w:lang w:val="en" w:eastAsia="zh-CN"/>
        </w:rPr>
      </w:pPr>
    </w:p>
    <w:p>
      <w:pPr>
        <w:pStyle w:val="7"/>
        <w:keepNext w:val="0"/>
        <w:keepLines w:val="0"/>
        <w:pageBreakBefore w:val="0"/>
        <w:kinsoku/>
        <w:wordWrap/>
        <w:overflowPunct/>
        <w:topLinePunct w:val="0"/>
        <w:autoSpaceDE/>
        <w:autoSpaceDN/>
        <w:bidi w:val="0"/>
        <w:adjustRightInd/>
        <w:snapToGrid/>
        <w:spacing w:beforeAutospacing="0" w:afterAutospacing="0" w:line="576" w:lineRule="exact"/>
        <w:jc w:val="center"/>
        <w:textAlignment w:val="auto"/>
        <w:rPr>
          <w:rFonts w:hint="eastAsia" w:ascii="方正小标宋简体" w:hAnsi="方正小标宋简体" w:eastAsia="方正小标宋简体" w:cs="方正小标宋简体"/>
          <w:b w:val="0"/>
          <w:bCs/>
          <w:kern w:val="2"/>
          <w:sz w:val="44"/>
          <w:szCs w:val="44"/>
          <w:lang w:val="en" w:eastAsia="zh-CN"/>
        </w:rPr>
      </w:pPr>
      <w:r>
        <w:rPr>
          <w:rFonts w:hint="eastAsia" w:ascii="方正小标宋简体" w:hAnsi="方正小标宋简体" w:eastAsia="方正小标宋简体" w:cs="方正小标宋简体"/>
          <w:b w:val="0"/>
          <w:bCs/>
          <w:kern w:val="2"/>
          <w:sz w:val="44"/>
          <w:szCs w:val="44"/>
          <w:lang w:val="en" w:eastAsia="zh-CN"/>
        </w:rPr>
        <w:t>聊城经济技术开发区疫苗安全事件</w:t>
      </w:r>
    </w:p>
    <w:p>
      <w:pPr>
        <w:pStyle w:val="7"/>
        <w:keepNext w:val="0"/>
        <w:keepLines w:val="0"/>
        <w:pageBreakBefore w:val="0"/>
        <w:kinsoku/>
        <w:wordWrap/>
        <w:overflowPunct/>
        <w:topLinePunct w:val="0"/>
        <w:autoSpaceDE/>
        <w:autoSpaceDN/>
        <w:bidi w:val="0"/>
        <w:adjustRightInd/>
        <w:snapToGrid/>
        <w:spacing w:beforeAutospacing="0" w:afterAutospacing="0" w:line="576" w:lineRule="exact"/>
        <w:jc w:val="center"/>
        <w:textAlignment w:val="auto"/>
        <w:rPr>
          <w:rFonts w:hint="eastAsia" w:ascii="方正小标宋简体" w:hAnsi="方正小标宋简体" w:eastAsia="方正小标宋简体" w:cs="方正小标宋简体"/>
          <w:b w:val="0"/>
          <w:bCs/>
          <w:kern w:val="2"/>
          <w:sz w:val="44"/>
          <w:szCs w:val="44"/>
          <w:lang w:val="en" w:eastAsia="zh-CN"/>
        </w:rPr>
      </w:pPr>
      <w:r>
        <w:rPr>
          <w:rFonts w:hint="eastAsia" w:ascii="方正小标宋简体" w:hAnsi="方正小标宋简体" w:eastAsia="方正小标宋简体" w:cs="方正小标宋简体"/>
          <w:b w:val="0"/>
          <w:bCs/>
          <w:kern w:val="2"/>
          <w:sz w:val="44"/>
          <w:szCs w:val="44"/>
          <w:lang w:val="en" w:eastAsia="zh-CN"/>
        </w:rPr>
        <w:t>应急预案</w:t>
      </w:r>
    </w:p>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auto"/>
        <w:rPr>
          <w:rFonts w:ascii="黑体" w:hAnsi="宋体" w:eastAsia="黑体" w:cs="黑体"/>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auto"/>
        <w:rPr>
          <w:sz w:val="32"/>
          <w:szCs w:val="32"/>
        </w:rPr>
      </w:pPr>
      <w:r>
        <w:rPr>
          <w:rFonts w:ascii="黑体" w:hAnsi="宋体" w:eastAsia="黑体" w:cs="黑体"/>
          <w:color w:val="000000"/>
          <w:kern w:val="0"/>
          <w:sz w:val="32"/>
          <w:szCs w:val="32"/>
          <w:lang w:val="en-US" w:eastAsia="zh-CN" w:bidi="ar"/>
        </w:rPr>
        <w:t>目</w:t>
      </w:r>
      <w:r>
        <w:rPr>
          <w:rFonts w:hint="eastAsia" w:ascii="黑体" w:hAnsi="宋体" w:eastAsia="黑体" w:cs="黑体"/>
          <w:color w:val="000000"/>
          <w:kern w:val="0"/>
          <w:sz w:val="32"/>
          <w:szCs w:val="32"/>
          <w:lang w:val="en-US" w:eastAsia="zh-CN" w:bidi="ar"/>
        </w:rPr>
        <w:t xml:space="preserve">   录</w:t>
      </w:r>
    </w:p>
    <w:p>
      <w:pPr>
        <w:keepNext w:val="0"/>
        <w:keepLines w:val="0"/>
        <w:pageBreakBefore w:val="0"/>
        <w:widowControl/>
        <w:suppressLineNumbers w:val="0"/>
        <w:kinsoku/>
        <w:wordWrap/>
        <w:overflowPunct/>
        <w:topLinePunct w:val="0"/>
        <w:autoSpaceDE/>
        <w:autoSpaceDN/>
        <w:bidi w:val="0"/>
        <w:adjustRightInd/>
        <w:snapToGrid/>
        <w:spacing w:line="576" w:lineRule="exact"/>
        <w:jc w:val="left"/>
        <w:textAlignment w:val="auto"/>
        <w:rPr>
          <w:sz w:val="32"/>
          <w:szCs w:val="32"/>
        </w:rPr>
      </w:pPr>
      <w:r>
        <w:rPr>
          <w:rFonts w:hint="eastAsia" w:ascii="黑体" w:hAnsi="宋体" w:eastAsia="黑体" w:cs="黑体"/>
          <w:color w:val="000000"/>
          <w:kern w:val="0"/>
          <w:sz w:val="32"/>
          <w:szCs w:val="32"/>
          <w:lang w:val="en-US" w:eastAsia="zh-CN" w:bidi="ar"/>
        </w:rPr>
        <w:t>1.总则</w:t>
      </w:r>
    </w:p>
    <w:p>
      <w:pPr>
        <w:keepNext w:val="0"/>
        <w:keepLines w:val="0"/>
        <w:pageBreakBefore w:val="0"/>
        <w:widowControl/>
        <w:suppressLineNumbers w:val="0"/>
        <w:kinsoku/>
        <w:wordWrap/>
        <w:overflowPunct/>
        <w:topLinePunct w:val="0"/>
        <w:autoSpaceDE/>
        <w:autoSpaceDN/>
        <w:bidi w:val="0"/>
        <w:adjustRightInd/>
        <w:snapToGrid/>
        <w:spacing w:line="576" w:lineRule="exact"/>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color w:val="000000"/>
          <w:kern w:val="0"/>
          <w:sz w:val="32"/>
          <w:szCs w:val="32"/>
          <w:lang w:val="en-US" w:eastAsia="zh-CN" w:bidi="ar"/>
        </w:rPr>
        <w:t xml:space="preserve">1.1编制目的 </w:t>
      </w:r>
    </w:p>
    <w:p>
      <w:pPr>
        <w:keepNext w:val="0"/>
        <w:keepLines w:val="0"/>
        <w:pageBreakBefore w:val="0"/>
        <w:widowControl/>
        <w:suppressLineNumbers w:val="0"/>
        <w:kinsoku/>
        <w:wordWrap/>
        <w:overflowPunct/>
        <w:topLinePunct w:val="0"/>
        <w:autoSpaceDE/>
        <w:autoSpaceDN/>
        <w:bidi w:val="0"/>
        <w:adjustRightInd/>
        <w:snapToGrid/>
        <w:spacing w:line="576" w:lineRule="exact"/>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color w:val="000000"/>
          <w:kern w:val="0"/>
          <w:sz w:val="32"/>
          <w:szCs w:val="32"/>
          <w:lang w:val="en-US" w:eastAsia="zh-CN" w:bidi="ar"/>
        </w:rPr>
        <w:t xml:space="preserve">1.2编制依据 </w:t>
      </w:r>
    </w:p>
    <w:p>
      <w:pPr>
        <w:keepNext w:val="0"/>
        <w:keepLines w:val="0"/>
        <w:pageBreakBefore w:val="0"/>
        <w:widowControl/>
        <w:suppressLineNumbers w:val="0"/>
        <w:kinsoku/>
        <w:wordWrap/>
        <w:overflowPunct/>
        <w:topLinePunct w:val="0"/>
        <w:autoSpaceDE/>
        <w:autoSpaceDN/>
        <w:bidi w:val="0"/>
        <w:adjustRightInd/>
        <w:snapToGrid/>
        <w:spacing w:line="576" w:lineRule="exact"/>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color w:val="000000"/>
          <w:kern w:val="0"/>
          <w:sz w:val="32"/>
          <w:szCs w:val="32"/>
          <w:lang w:val="en-US" w:eastAsia="zh-CN" w:bidi="ar"/>
        </w:rPr>
        <w:t xml:space="preserve">1.3适用范围 </w:t>
      </w:r>
    </w:p>
    <w:p>
      <w:pPr>
        <w:keepNext w:val="0"/>
        <w:keepLines w:val="0"/>
        <w:pageBreakBefore w:val="0"/>
        <w:widowControl/>
        <w:suppressLineNumbers w:val="0"/>
        <w:kinsoku/>
        <w:wordWrap/>
        <w:overflowPunct/>
        <w:topLinePunct w:val="0"/>
        <w:autoSpaceDE/>
        <w:autoSpaceDN/>
        <w:bidi w:val="0"/>
        <w:adjustRightInd/>
        <w:snapToGrid/>
        <w:spacing w:line="576" w:lineRule="exact"/>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color w:val="000000"/>
          <w:kern w:val="0"/>
          <w:sz w:val="32"/>
          <w:szCs w:val="32"/>
          <w:lang w:val="en-US" w:eastAsia="zh-CN" w:bidi="ar"/>
        </w:rPr>
        <w:t xml:space="preserve">1.4分级标准 </w:t>
      </w:r>
    </w:p>
    <w:p>
      <w:pPr>
        <w:keepNext w:val="0"/>
        <w:keepLines w:val="0"/>
        <w:pageBreakBefore w:val="0"/>
        <w:widowControl/>
        <w:suppressLineNumbers w:val="0"/>
        <w:kinsoku/>
        <w:wordWrap/>
        <w:overflowPunct/>
        <w:topLinePunct w:val="0"/>
        <w:autoSpaceDE/>
        <w:autoSpaceDN/>
        <w:bidi w:val="0"/>
        <w:adjustRightInd/>
        <w:snapToGrid/>
        <w:spacing w:line="576" w:lineRule="exact"/>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color w:val="000000"/>
          <w:kern w:val="0"/>
          <w:sz w:val="32"/>
          <w:szCs w:val="32"/>
          <w:lang w:val="en-US" w:eastAsia="zh-CN" w:bidi="ar"/>
        </w:rPr>
        <w:t xml:space="preserve">1.5处置原则 </w:t>
      </w:r>
    </w:p>
    <w:p>
      <w:pPr>
        <w:keepNext w:val="0"/>
        <w:keepLines w:val="0"/>
        <w:pageBreakBefore w:val="0"/>
        <w:widowControl/>
        <w:suppressLineNumbers w:val="0"/>
        <w:kinsoku/>
        <w:wordWrap/>
        <w:overflowPunct/>
        <w:topLinePunct w:val="0"/>
        <w:autoSpaceDE/>
        <w:autoSpaceDN/>
        <w:bidi w:val="0"/>
        <w:adjustRightInd/>
        <w:snapToGrid/>
        <w:spacing w:line="576" w:lineRule="exact"/>
        <w:jc w:val="left"/>
        <w:textAlignment w:val="auto"/>
        <w:rPr>
          <w:sz w:val="32"/>
          <w:szCs w:val="32"/>
        </w:rPr>
      </w:pPr>
      <w:r>
        <w:rPr>
          <w:rFonts w:hint="eastAsia" w:ascii="黑体" w:hAnsi="宋体" w:eastAsia="黑体" w:cs="黑体"/>
          <w:color w:val="000000"/>
          <w:kern w:val="0"/>
          <w:sz w:val="32"/>
          <w:szCs w:val="32"/>
          <w:lang w:val="en-US" w:eastAsia="zh-CN" w:bidi="ar"/>
        </w:rPr>
        <w:t xml:space="preserve">2.组织体系 </w:t>
      </w:r>
    </w:p>
    <w:p>
      <w:pPr>
        <w:keepNext w:val="0"/>
        <w:keepLines w:val="0"/>
        <w:pageBreakBefore w:val="0"/>
        <w:widowControl/>
        <w:suppressLineNumbers w:val="0"/>
        <w:kinsoku/>
        <w:wordWrap/>
        <w:overflowPunct/>
        <w:topLinePunct w:val="0"/>
        <w:autoSpaceDE/>
        <w:autoSpaceDN/>
        <w:bidi w:val="0"/>
        <w:adjustRightInd/>
        <w:snapToGrid/>
        <w:spacing w:line="576" w:lineRule="exact"/>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color w:val="000000"/>
          <w:kern w:val="0"/>
          <w:sz w:val="32"/>
          <w:szCs w:val="32"/>
          <w:lang w:val="en-US" w:eastAsia="zh-CN" w:bidi="ar"/>
        </w:rPr>
        <w:t xml:space="preserve">2.1应急指挥体系 </w:t>
      </w:r>
    </w:p>
    <w:p>
      <w:pPr>
        <w:keepNext w:val="0"/>
        <w:keepLines w:val="0"/>
        <w:pageBreakBefore w:val="0"/>
        <w:widowControl/>
        <w:suppressLineNumbers w:val="0"/>
        <w:kinsoku/>
        <w:wordWrap/>
        <w:overflowPunct/>
        <w:topLinePunct w:val="0"/>
        <w:autoSpaceDE/>
        <w:autoSpaceDN/>
        <w:bidi w:val="0"/>
        <w:adjustRightInd/>
        <w:snapToGrid/>
        <w:spacing w:line="576" w:lineRule="exact"/>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color w:val="000000"/>
          <w:kern w:val="0"/>
          <w:sz w:val="32"/>
          <w:szCs w:val="32"/>
          <w:lang w:val="en-US" w:eastAsia="zh-CN" w:bidi="ar"/>
        </w:rPr>
        <w:t xml:space="preserve">2.2技术支撑机构 </w:t>
      </w:r>
    </w:p>
    <w:p>
      <w:pPr>
        <w:keepNext w:val="0"/>
        <w:keepLines w:val="0"/>
        <w:pageBreakBefore w:val="0"/>
        <w:widowControl/>
        <w:suppressLineNumbers w:val="0"/>
        <w:kinsoku/>
        <w:wordWrap/>
        <w:overflowPunct/>
        <w:topLinePunct w:val="0"/>
        <w:autoSpaceDE/>
        <w:autoSpaceDN/>
        <w:bidi w:val="0"/>
        <w:adjustRightInd/>
        <w:snapToGrid/>
        <w:spacing w:line="576" w:lineRule="exact"/>
        <w:jc w:val="left"/>
        <w:textAlignment w:val="auto"/>
        <w:rPr>
          <w:sz w:val="32"/>
          <w:szCs w:val="32"/>
        </w:rPr>
      </w:pPr>
      <w:r>
        <w:rPr>
          <w:rFonts w:hint="eastAsia" w:ascii="黑体" w:hAnsi="宋体" w:eastAsia="黑体" w:cs="黑体"/>
          <w:color w:val="000000"/>
          <w:kern w:val="0"/>
          <w:sz w:val="32"/>
          <w:szCs w:val="32"/>
          <w:lang w:val="en-US" w:eastAsia="zh-CN" w:bidi="ar"/>
        </w:rPr>
        <w:t xml:space="preserve">3.监测、预警、报告和评估 </w:t>
      </w:r>
    </w:p>
    <w:p>
      <w:pPr>
        <w:keepNext w:val="0"/>
        <w:keepLines w:val="0"/>
        <w:pageBreakBefore w:val="0"/>
        <w:widowControl/>
        <w:suppressLineNumbers w:val="0"/>
        <w:kinsoku/>
        <w:wordWrap/>
        <w:overflowPunct/>
        <w:topLinePunct w:val="0"/>
        <w:autoSpaceDE/>
        <w:autoSpaceDN/>
        <w:bidi w:val="0"/>
        <w:adjustRightInd/>
        <w:snapToGrid/>
        <w:spacing w:line="576" w:lineRule="exact"/>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color w:val="000000"/>
          <w:kern w:val="0"/>
          <w:sz w:val="32"/>
          <w:szCs w:val="32"/>
          <w:lang w:val="en-US" w:eastAsia="zh-CN" w:bidi="ar"/>
        </w:rPr>
        <w:t xml:space="preserve">3.1监测 </w:t>
      </w:r>
    </w:p>
    <w:p>
      <w:pPr>
        <w:keepNext w:val="0"/>
        <w:keepLines w:val="0"/>
        <w:pageBreakBefore w:val="0"/>
        <w:widowControl/>
        <w:suppressLineNumbers w:val="0"/>
        <w:kinsoku/>
        <w:wordWrap/>
        <w:overflowPunct/>
        <w:topLinePunct w:val="0"/>
        <w:autoSpaceDE/>
        <w:autoSpaceDN/>
        <w:bidi w:val="0"/>
        <w:adjustRightInd/>
        <w:snapToGrid/>
        <w:spacing w:line="576" w:lineRule="exact"/>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color w:val="000000"/>
          <w:kern w:val="0"/>
          <w:sz w:val="32"/>
          <w:szCs w:val="32"/>
          <w:lang w:val="en-US" w:eastAsia="zh-CN" w:bidi="ar"/>
        </w:rPr>
        <w:t xml:space="preserve">3.2预警 </w:t>
      </w:r>
    </w:p>
    <w:p>
      <w:pPr>
        <w:keepNext w:val="0"/>
        <w:keepLines w:val="0"/>
        <w:pageBreakBefore w:val="0"/>
        <w:widowControl/>
        <w:suppressLineNumbers w:val="0"/>
        <w:kinsoku/>
        <w:wordWrap/>
        <w:overflowPunct/>
        <w:topLinePunct w:val="0"/>
        <w:autoSpaceDE/>
        <w:autoSpaceDN/>
        <w:bidi w:val="0"/>
        <w:adjustRightInd/>
        <w:snapToGrid/>
        <w:spacing w:line="576" w:lineRule="exact"/>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color w:val="000000"/>
          <w:kern w:val="0"/>
          <w:sz w:val="32"/>
          <w:szCs w:val="32"/>
          <w:lang w:val="en-US" w:eastAsia="zh-CN" w:bidi="ar"/>
        </w:rPr>
        <w:t xml:space="preserve">3.3报告 </w:t>
      </w:r>
    </w:p>
    <w:p>
      <w:pPr>
        <w:keepNext w:val="0"/>
        <w:keepLines w:val="0"/>
        <w:pageBreakBefore w:val="0"/>
        <w:widowControl/>
        <w:suppressLineNumbers w:val="0"/>
        <w:kinsoku/>
        <w:wordWrap/>
        <w:overflowPunct/>
        <w:topLinePunct w:val="0"/>
        <w:autoSpaceDE/>
        <w:autoSpaceDN/>
        <w:bidi w:val="0"/>
        <w:adjustRightInd/>
        <w:snapToGrid/>
        <w:spacing w:line="576" w:lineRule="exact"/>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color w:val="000000"/>
          <w:kern w:val="0"/>
          <w:sz w:val="32"/>
          <w:szCs w:val="32"/>
          <w:lang w:val="en-US" w:eastAsia="zh-CN" w:bidi="ar"/>
        </w:rPr>
        <w:t xml:space="preserve">3.4事件评估 </w:t>
      </w:r>
    </w:p>
    <w:p>
      <w:pPr>
        <w:keepNext w:val="0"/>
        <w:keepLines w:val="0"/>
        <w:pageBreakBefore w:val="0"/>
        <w:widowControl/>
        <w:suppressLineNumbers w:val="0"/>
        <w:kinsoku/>
        <w:wordWrap/>
        <w:overflowPunct/>
        <w:topLinePunct w:val="0"/>
        <w:autoSpaceDE/>
        <w:autoSpaceDN/>
        <w:bidi w:val="0"/>
        <w:adjustRightInd/>
        <w:snapToGrid/>
        <w:spacing w:line="576" w:lineRule="exact"/>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color w:val="000000"/>
          <w:kern w:val="0"/>
          <w:sz w:val="32"/>
          <w:szCs w:val="32"/>
          <w:lang w:val="en-US" w:eastAsia="zh-CN" w:bidi="ar"/>
        </w:rPr>
        <w:t xml:space="preserve">3.5先期处置 </w:t>
      </w:r>
    </w:p>
    <w:p>
      <w:pPr>
        <w:keepNext w:val="0"/>
        <w:keepLines w:val="0"/>
        <w:pageBreakBefore w:val="0"/>
        <w:widowControl/>
        <w:suppressLineNumbers w:val="0"/>
        <w:kinsoku/>
        <w:wordWrap/>
        <w:overflowPunct/>
        <w:topLinePunct w:val="0"/>
        <w:autoSpaceDE/>
        <w:autoSpaceDN/>
        <w:bidi w:val="0"/>
        <w:adjustRightInd/>
        <w:snapToGrid/>
        <w:spacing w:line="576" w:lineRule="exact"/>
        <w:jc w:val="left"/>
        <w:textAlignment w:val="auto"/>
        <w:rPr>
          <w:rFonts w:hint="eastAsia" w:ascii="黑体" w:hAnsi="黑体" w:eastAsia="黑体" w:cs="黑体"/>
          <w:sz w:val="32"/>
          <w:szCs w:val="32"/>
        </w:rPr>
      </w:pPr>
      <w:r>
        <w:rPr>
          <w:rFonts w:hint="eastAsia" w:ascii="黑体" w:hAnsi="黑体" w:eastAsia="黑体" w:cs="黑体"/>
          <w:color w:val="000000"/>
          <w:kern w:val="0"/>
          <w:sz w:val="32"/>
          <w:szCs w:val="32"/>
          <w:lang w:val="en-US" w:eastAsia="zh-CN" w:bidi="ar"/>
        </w:rPr>
        <w:t xml:space="preserve">4.分级响应 </w:t>
      </w:r>
    </w:p>
    <w:p>
      <w:pPr>
        <w:keepNext w:val="0"/>
        <w:keepLines w:val="0"/>
        <w:pageBreakBefore w:val="0"/>
        <w:widowControl/>
        <w:suppressLineNumbers w:val="0"/>
        <w:kinsoku/>
        <w:wordWrap/>
        <w:overflowPunct/>
        <w:topLinePunct w:val="0"/>
        <w:autoSpaceDE/>
        <w:autoSpaceDN/>
        <w:bidi w:val="0"/>
        <w:adjustRightInd/>
        <w:snapToGrid/>
        <w:spacing w:line="576" w:lineRule="exact"/>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color w:val="000000"/>
          <w:kern w:val="0"/>
          <w:sz w:val="32"/>
          <w:szCs w:val="32"/>
          <w:lang w:val="en-US" w:eastAsia="zh-CN" w:bidi="ar"/>
        </w:rPr>
        <w:t xml:space="preserve">4.1Ⅰ级、Ⅱ级、Ⅲ级响应 </w:t>
      </w:r>
    </w:p>
    <w:p>
      <w:pPr>
        <w:keepNext w:val="0"/>
        <w:keepLines w:val="0"/>
        <w:pageBreakBefore w:val="0"/>
        <w:widowControl/>
        <w:suppressLineNumbers w:val="0"/>
        <w:kinsoku/>
        <w:wordWrap/>
        <w:overflowPunct/>
        <w:topLinePunct w:val="0"/>
        <w:autoSpaceDE/>
        <w:autoSpaceDN/>
        <w:bidi w:val="0"/>
        <w:adjustRightInd/>
        <w:snapToGrid/>
        <w:spacing w:line="576" w:lineRule="exact"/>
        <w:jc w:val="left"/>
        <w:textAlignment w:val="auto"/>
        <w:rPr>
          <w:rFonts w:hint="eastAsia" w:ascii="楷体_GB2312" w:hAnsi="楷体_GB2312" w:eastAsia="楷体_GB2312" w:cs="楷体_GB2312"/>
          <w:color w:val="000000"/>
          <w:kern w:val="0"/>
          <w:sz w:val="32"/>
          <w:szCs w:val="32"/>
          <w:lang w:val="en-US" w:eastAsia="zh-CN" w:bidi="ar"/>
        </w:rPr>
      </w:pPr>
      <w:r>
        <w:rPr>
          <w:rFonts w:hint="eastAsia" w:ascii="楷体_GB2312" w:hAnsi="楷体_GB2312" w:eastAsia="楷体_GB2312" w:cs="楷体_GB2312"/>
          <w:color w:val="000000"/>
          <w:kern w:val="0"/>
          <w:sz w:val="32"/>
          <w:szCs w:val="32"/>
          <w:lang w:val="en-US" w:eastAsia="zh-CN" w:bidi="ar"/>
        </w:rPr>
        <w:t>4.2Ⅳ级响应</w:t>
      </w:r>
    </w:p>
    <w:p>
      <w:pPr>
        <w:keepNext w:val="0"/>
        <w:keepLines w:val="0"/>
        <w:pageBreakBefore w:val="0"/>
        <w:widowControl/>
        <w:suppressLineNumbers w:val="0"/>
        <w:kinsoku/>
        <w:wordWrap/>
        <w:overflowPunct/>
        <w:topLinePunct w:val="0"/>
        <w:autoSpaceDE/>
        <w:autoSpaceDN/>
        <w:bidi w:val="0"/>
        <w:adjustRightInd/>
        <w:snapToGrid/>
        <w:spacing w:line="576" w:lineRule="exact"/>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color w:val="000000"/>
          <w:kern w:val="0"/>
          <w:sz w:val="32"/>
          <w:szCs w:val="32"/>
          <w:lang w:val="en-US" w:eastAsia="zh-CN" w:bidi="ar"/>
        </w:rPr>
        <w:t xml:space="preserve">4.3响应措施 </w:t>
      </w:r>
    </w:p>
    <w:p>
      <w:pPr>
        <w:keepNext w:val="0"/>
        <w:keepLines w:val="0"/>
        <w:pageBreakBefore w:val="0"/>
        <w:widowControl/>
        <w:suppressLineNumbers w:val="0"/>
        <w:kinsoku/>
        <w:wordWrap/>
        <w:overflowPunct/>
        <w:topLinePunct w:val="0"/>
        <w:autoSpaceDE/>
        <w:autoSpaceDN/>
        <w:bidi w:val="0"/>
        <w:adjustRightInd/>
        <w:snapToGrid/>
        <w:spacing w:line="576" w:lineRule="exact"/>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color w:val="000000"/>
          <w:kern w:val="0"/>
          <w:sz w:val="32"/>
          <w:szCs w:val="32"/>
          <w:lang w:val="en-US" w:eastAsia="zh-CN" w:bidi="ar"/>
        </w:rPr>
        <w:t xml:space="preserve">4.4响应结束 </w:t>
      </w:r>
    </w:p>
    <w:p>
      <w:pPr>
        <w:keepNext w:val="0"/>
        <w:keepLines w:val="0"/>
        <w:pageBreakBefore w:val="0"/>
        <w:widowControl/>
        <w:suppressLineNumbers w:val="0"/>
        <w:kinsoku/>
        <w:wordWrap/>
        <w:overflowPunct/>
        <w:topLinePunct w:val="0"/>
        <w:autoSpaceDE/>
        <w:autoSpaceDN/>
        <w:bidi w:val="0"/>
        <w:adjustRightInd/>
        <w:snapToGrid/>
        <w:spacing w:line="576" w:lineRule="exact"/>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color w:val="000000"/>
          <w:kern w:val="0"/>
          <w:sz w:val="32"/>
          <w:szCs w:val="32"/>
          <w:lang w:val="en-US" w:eastAsia="zh-CN" w:bidi="ar"/>
        </w:rPr>
        <w:t xml:space="preserve">4.5信息发布 </w:t>
      </w:r>
    </w:p>
    <w:p>
      <w:pPr>
        <w:keepNext w:val="0"/>
        <w:keepLines w:val="0"/>
        <w:pageBreakBefore w:val="0"/>
        <w:widowControl/>
        <w:suppressLineNumbers w:val="0"/>
        <w:kinsoku/>
        <w:wordWrap/>
        <w:overflowPunct/>
        <w:topLinePunct w:val="0"/>
        <w:autoSpaceDE/>
        <w:autoSpaceDN/>
        <w:bidi w:val="0"/>
        <w:adjustRightInd/>
        <w:snapToGrid/>
        <w:spacing w:line="576" w:lineRule="exact"/>
        <w:jc w:val="left"/>
        <w:textAlignment w:val="auto"/>
        <w:rPr>
          <w:rFonts w:hint="eastAsia" w:ascii="黑体" w:hAnsi="黑体" w:eastAsia="黑体" w:cs="黑体"/>
          <w:sz w:val="32"/>
          <w:szCs w:val="32"/>
        </w:rPr>
      </w:pPr>
      <w:r>
        <w:rPr>
          <w:rFonts w:hint="eastAsia" w:ascii="黑体" w:hAnsi="黑体" w:eastAsia="黑体" w:cs="黑体"/>
          <w:color w:val="000000"/>
          <w:kern w:val="0"/>
          <w:sz w:val="32"/>
          <w:szCs w:val="32"/>
          <w:lang w:val="en-US" w:eastAsia="zh-CN" w:bidi="ar"/>
        </w:rPr>
        <w:t xml:space="preserve">5.善后处置 </w:t>
      </w:r>
    </w:p>
    <w:p>
      <w:pPr>
        <w:keepNext w:val="0"/>
        <w:keepLines w:val="0"/>
        <w:pageBreakBefore w:val="0"/>
        <w:widowControl/>
        <w:suppressLineNumbers w:val="0"/>
        <w:kinsoku/>
        <w:wordWrap/>
        <w:overflowPunct/>
        <w:topLinePunct w:val="0"/>
        <w:autoSpaceDE/>
        <w:autoSpaceDN/>
        <w:bidi w:val="0"/>
        <w:adjustRightInd/>
        <w:snapToGrid/>
        <w:spacing w:line="576" w:lineRule="exact"/>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color w:val="000000"/>
          <w:kern w:val="0"/>
          <w:sz w:val="32"/>
          <w:szCs w:val="32"/>
          <w:lang w:val="en-US" w:eastAsia="zh-CN" w:bidi="ar"/>
        </w:rPr>
        <w:t xml:space="preserve">5.1事件评估 </w:t>
      </w:r>
    </w:p>
    <w:p>
      <w:pPr>
        <w:keepNext w:val="0"/>
        <w:keepLines w:val="0"/>
        <w:pageBreakBefore w:val="0"/>
        <w:widowControl/>
        <w:suppressLineNumbers w:val="0"/>
        <w:kinsoku/>
        <w:wordWrap/>
        <w:overflowPunct/>
        <w:topLinePunct w:val="0"/>
        <w:autoSpaceDE/>
        <w:autoSpaceDN/>
        <w:bidi w:val="0"/>
        <w:adjustRightInd/>
        <w:snapToGrid/>
        <w:spacing w:line="576" w:lineRule="exact"/>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color w:val="000000"/>
          <w:kern w:val="0"/>
          <w:sz w:val="32"/>
          <w:szCs w:val="32"/>
          <w:lang w:val="en-US" w:eastAsia="zh-CN" w:bidi="ar"/>
        </w:rPr>
        <w:t xml:space="preserve">5.2工作总结 </w:t>
      </w:r>
    </w:p>
    <w:p>
      <w:pPr>
        <w:keepNext w:val="0"/>
        <w:keepLines w:val="0"/>
        <w:pageBreakBefore w:val="0"/>
        <w:widowControl/>
        <w:suppressLineNumbers w:val="0"/>
        <w:kinsoku/>
        <w:wordWrap/>
        <w:overflowPunct/>
        <w:topLinePunct w:val="0"/>
        <w:autoSpaceDE/>
        <w:autoSpaceDN/>
        <w:bidi w:val="0"/>
        <w:adjustRightInd/>
        <w:snapToGrid/>
        <w:spacing w:line="576" w:lineRule="exact"/>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color w:val="000000"/>
          <w:kern w:val="0"/>
          <w:sz w:val="32"/>
          <w:szCs w:val="32"/>
          <w:lang w:val="en-US" w:eastAsia="zh-CN" w:bidi="ar"/>
        </w:rPr>
        <w:t xml:space="preserve">5.3善后与恢复 </w:t>
      </w:r>
    </w:p>
    <w:p>
      <w:pPr>
        <w:keepNext w:val="0"/>
        <w:keepLines w:val="0"/>
        <w:pageBreakBefore w:val="0"/>
        <w:widowControl/>
        <w:suppressLineNumbers w:val="0"/>
        <w:kinsoku/>
        <w:wordWrap/>
        <w:overflowPunct/>
        <w:topLinePunct w:val="0"/>
        <w:autoSpaceDE/>
        <w:autoSpaceDN/>
        <w:bidi w:val="0"/>
        <w:adjustRightInd/>
        <w:snapToGrid/>
        <w:spacing w:line="576" w:lineRule="exact"/>
        <w:jc w:val="left"/>
        <w:textAlignment w:val="auto"/>
        <w:rPr>
          <w:sz w:val="32"/>
          <w:szCs w:val="32"/>
        </w:rPr>
      </w:pPr>
      <w:r>
        <w:rPr>
          <w:rFonts w:hint="eastAsia" w:ascii="黑体" w:hAnsi="宋体" w:eastAsia="黑体" w:cs="黑体"/>
          <w:color w:val="000000"/>
          <w:kern w:val="0"/>
          <w:sz w:val="32"/>
          <w:szCs w:val="32"/>
          <w:lang w:val="en-US" w:eastAsia="zh-CN" w:bidi="ar"/>
        </w:rPr>
        <w:t xml:space="preserve">6.保障措施 </w:t>
      </w:r>
    </w:p>
    <w:p>
      <w:pPr>
        <w:keepNext w:val="0"/>
        <w:keepLines w:val="0"/>
        <w:pageBreakBefore w:val="0"/>
        <w:widowControl/>
        <w:suppressLineNumbers w:val="0"/>
        <w:kinsoku/>
        <w:wordWrap/>
        <w:overflowPunct/>
        <w:topLinePunct w:val="0"/>
        <w:autoSpaceDE/>
        <w:autoSpaceDN/>
        <w:bidi w:val="0"/>
        <w:adjustRightInd/>
        <w:snapToGrid/>
        <w:spacing w:line="576" w:lineRule="exact"/>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color w:val="000000"/>
          <w:kern w:val="0"/>
          <w:sz w:val="32"/>
          <w:szCs w:val="32"/>
          <w:lang w:val="en-US" w:eastAsia="zh-CN" w:bidi="ar"/>
        </w:rPr>
        <w:t xml:space="preserve">6.1信息保障 </w:t>
      </w:r>
    </w:p>
    <w:p>
      <w:pPr>
        <w:keepNext w:val="0"/>
        <w:keepLines w:val="0"/>
        <w:pageBreakBefore w:val="0"/>
        <w:widowControl/>
        <w:suppressLineNumbers w:val="0"/>
        <w:kinsoku/>
        <w:wordWrap/>
        <w:overflowPunct/>
        <w:topLinePunct w:val="0"/>
        <w:autoSpaceDE/>
        <w:autoSpaceDN/>
        <w:bidi w:val="0"/>
        <w:adjustRightInd/>
        <w:snapToGrid/>
        <w:spacing w:line="576" w:lineRule="exact"/>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color w:val="000000"/>
          <w:kern w:val="0"/>
          <w:sz w:val="32"/>
          <w:szCs w:val="32"/>
          <w:lang w:val="en-US" w:eastAsia="zh-CN" w:bidi="ar"/>
        </w:rPr>
        <w:t xml:space="preserve">6.2人员及技术保障 </w:t>
      </w:r>
    </w:p>
    <w:p>
      <w:pPr>
        <w:keepNext w:val="0"/>
        <w:keepLines w:val="0"/>
        <w:pageBreakBefore w:val="0"/>
        <w:widowControl/>
        <w:suppressLineNumbers w:val="0"/>
        <w:kinsoku/>
        <w:wordWrap/>
        <w:overflowPunct/>
        <w:topLinePunct w:val="0"/>
        <w:autoSpaceDE/>
        <w:autoSpaceDN/>
        <w:bidi w:val="0"/>
        <w:adjustRightInd/>
        <w:snapToGrid/>
        <w:spacing w:line="576" w:lineRule="exact"/>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color w:val="000000"/>
          <w:kern w:val="0"/>
          <w:sz w:val="32"/>
          <w:szCs w:val="32"/>
          <w:lang w:val="en-US" w:eastAsia="zh-CN" w:bidi="ar"/>
        </w:rPr>
        <w:t xml:space="preserve">6.3物资和经费保障 </w:t>
      </w:r>
    </w:p>
    <w:p>
      <w:pPr>
        <w:keepNext w:val="0"/>
        <w:keepLines w:val="0"/>
        <w:pageBreakBefore w:val="0"/>
        <w:widowControl/>
        <w:suppressLineNumbers w:val="0"/>
        <w:kinsoku/>
        <w:wordWrap/>
        <w:overflowPunct/>
        <w:topLinePunct w:val="0"/>
        <w:autoSpaceDE/>
        <w:autoSpaceDN/>
        <w:bidi w:val="0"/>
        <w:adjustRightInd/>
        <w:snapToGrid/>
        <w:spacing w:line="576" w:lineRule="exact"/>
        <w:jc w:val="left"/>
        <w:textAlignment w:val="auto"/>
        <w:rPr>
          <w:sz w:val="32"/>
          <w:szCs w:val="32"/>
        </w:rPr>
      </w:pPr>
      <w:r>
        <w:rPr>
          <w:rFonts w:hint="eastAsia" w:ascii="黑体" w:hAnsi="宋体" w:eastAsia="黑体" w:cs="黑体"/>
          <w:color w:val="000000"/>
          <w:kern w:val="0"/>
          <w:sz w:val="32"/>
          <w:szCs w:val="32"/>
          <w:lang w:val="en-US" w:eastAsia="zh-CN" w:bidi="ar"/>
        </w:rPr>
        <w:t xml:space="preserve">7.日常管理 </w:t>
      </w:r>
    </w:p>
    <w:p>
      <w:pPr>
        <w:keepNext w:val="0"/>
        <w:keepLines w:val="0"/>
        <w:pageBreakBefore w:val="0"/>
        <w:widowControl/>
        <w:suppressLineNumbers w:val="0"/>
        <w:kinsoku/>
        <w:wordWrap/>
        <w:overflowPunct/>
        <w:topLinePunct w:val="0"/>
        <w:autoSpaceDE/>
        <w:autoSpaceDN/>
        <w:bidi w:val="0"/>
        <w:adjustRightInd/>
        <w:snapToGrid/>
        <w:spacing w:line="576" w:lineRule="exact"/>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color w:val="000000"/>
          <w:kern w:val="0"/>
          <w:sz w:val="32"/>
          <w:szCs w:val="32"/>
          <w:lang w:val="en-US" w:eastAsia="zh-CN" w:bidi="ar"/>
        </w:rPr>
        <w:t xml:space="preserve">7.1应急演练 </w:t>
      </w:r>
    </w:p>
    <w:p>
      <w:pPr>
        <w:keepNext w:val="0"/>
        <w:keepLines w:val="0"/>
        <w:pageBreakBefore w:val="0"/>
        <w:widowControl/>
        <w:suppressLineNumbers w:val="0"/>
        <w:kinsoku/>
        <w:wordWrap/>
        <w:overflowPunct/>
        <w:topLinePunct w:val="0"/>
        <w:autoSpaceDE/>
        <w:autoSpaceDN/>
        <w:bidi w:val="0"/>
        <w:adjustRightInd/>
        <w:snapToGrid/>
        <w:spacing w:line="576" w:lineRule="exact"/>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color w:val="000000"/>
          <w:kern w:val="0"/>
          <w:sz w:val="32"/>
          <w:szCs w:val="32"/>
          <w:lang w:val="en-US" w:eastAsia="zh-CN" w:bidi="ar"/>
        </w:rPr>
        <w:t xml:space="preserve">7.2应急宣传 </w:t>
      </w:r>
    </w:p>
    <w:p>
      <w:pPr>
        <w:keepNext w:val="0"/>
        <w:keepLines w:val="0"/>
        <w:pageBreakBefore w:val="0"/>
        <w:widowControl/>
        <w:suppressLineNumbers w:val="0"/>
        <w:kinsoku/>
        <w:wordWrap/>
        <w:overflowPunct/>
        <w:topLinePunct w:val="0"/>
        <w:autoSpaceDE/>
        <w:autoSpaceDN/>
        <w:bidi w:val="0"/>
        <w:adjustRightInd/>
        <w:snapToGrid/>
        <w:spacing w:line="576" w:lineRule="exact"/>
        <w:jc w:val="left"/>
        <w:textAlignment w:val="auto"/>
        <w:rPr>
          <w:sz w:val="32"/>
          <w:szCs w:val="32"/>
        </w:rPr>
      </w:pPr>
      <w:r>
        <w:rPr>
          <w:rFonts w:hint="eastAsia" w:ascii="黑体" w:hAnsi="宋体" w:eastAsia="黑体" w:cs="黑体"/>
          <w:color w:val="000000"/>
          <w:kern w:val="0"/>
          <w:sz w:val="32"/>
          <w:szCs w:val="32"/>
          <w:lang w:val="en-US" w:eastAsia="zh-CN" w:bidi="ar"/>
        </w:rPr>
        <w:t xml:space="preserve">8.附则 </w:t>
      </w:r>
    </w:p>
    <w:p>
      <w:pPr>
        <w:keepNext w:val="0"/>
        <w:keepLines w:val="0"/>
        <w:pageBreakBefore w:val="0"/>
        <w:widowControl/>
        <w:suppressLineNumbers w:val="0"/>
        <w:kinsoku/>
        <w:wordWrap/>
        <w:overflowPunct/>
        <w:topLinePunct w:val="0"/>
        <w:autoSpaceDE/>
        <w:autoSpaceDN/>
        <w:bidi w:val="0"/>
        <w:adjustRightInd/>
        <w:snapToGrid/>
        <w:spacing w:line="576" w:lineRule="exact"/>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color w:val="000000"/>
          <w:kern w:val="0"/>
          <w:sz w:val="32"/>
          <w:szCs w:val="32"/>
          <w:lang w:val="en-US" w:eastAsia="zh-CN" w:bidi="ar"/>
        </w:rPr>
        <w:t xml:space="preserve">8.1预案管理 </w:t>
      </w:r>
    </w:p>
    <w:p>
      <w:pPr>
        <w:keepNext w:val="0"/>
        <w:keepLines w:val="0"/>
        <w:pageBreakBefore w:val="0"/>
        <w:widowControl/>
        <w:suppressLineNumbers w:val="0"/>
        <w:kinsoku/>
        <w:wordWrap/>
        <w:overflowPunct/>
        <w:topLinePunct w:val="0"/>
        <w:autoSpaceDE/>
        <w:autoSpaceDN/>
        <w:bidi w:val="0"/>
        <w:adjustRightInd/>
        <w:snapToGrid/>
        <w:spacing w:line="576" w:lineRule="exact"/>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color w:val="000000"/>
          <w:kern w:val="0"/>
          <w:sz w:val="32"/>
          <w:szCs w:val="32"/>
          <w:lang w:val="en-US" w:eastAsia="zh-CN" w:bidi="ar"/>
        </w:rPr>
        <w:t>8.2发布实施</w:t>
      </w:r>
    </w:p>
    <w:p>
      <w:pPr>
        <w:pStyle w:val="7"/>
        <w:keepNext w:val="0"/>
        <w:keepLines w:val="0"/>
        <w:pageBreakBefore w:val="0"/>
        <w:kinsoku/>
        <w:wordWrap/>
        <w:overflowPunct/>
        <w:topLinePunct w:val="0"/>
        <w:autoSpaceDE/>
        <w:autoSpaceDN/>
        <w:bidi w:val="0"/>
        <w:adjustRightInd/>
        <w:snapToGrid/>
        <w:spacing w:beforeAutospacing="0" w:afterAutospacing="0" w:line="576" w:lineRule="exact"/>
        <w:ind w:firstLine="627" w:firstLineChars="196"/>
        <w:jc w:val="both"/>
        <w:textAlignment w:val="auto"/>
        <w:rPr>
          <w:rFonts w:hint="eastAsia" w:ascii="仿宋" w:hAnsi="仿宋" w:eastAsia="仿宋" w:cs="仿宋"/>
          <w:b w:val="0"/>
          <w:bCs/>
          <w:kern w:val="2"/>
          <w:sz w:val="32"/>
          <w:szCs w:val="32"/>
          <w:lang w:val="en-US" w:eastAsia="zh-CN"/>
        </w:rPr>
      </w:pPr>
      <w:r>
        <w:rPr>
          <w:rFonts w:hint="eastAsia" w:ascii="仿宋" w:hAnsi="仿宋" w:eastAsia="仿宋" w:cs="仿宋"/>
          <w:b w:val="0"/>
          <w:bCs/>
          <w:kern w:val="2"/>
          <w:sz w:val="32"/>
          <w:szCs w:val="32"/>
          <w:lang w:val="en-US" w:eastAsia="zh-CN"/>
        </w:rPr>
        <w:t xml:space="preserve">      </w:t>
      </w:r>
    </w:p>
    <w:p>
      <w:pPr>
        <w:pStyle w:val="7"/>
        <w:keepNext w:val="0"/>
        <w:keepLines w:val="0"/>
        <w:pageBreakBefore w:val="0"/>
        <w:kinsoku/>
        <w:wordWrap/>
        <w:overflowPunct/>
        <w:topLinePunct w:val="0"/>
        <w:autoSpaceDE/>
        <w:autoSpaceDN/>
        <w:bidi w:val="0"/>
        <w:adjustRightInd/>
        <w:snapToGrid/>
        <w:spacing w:beforeAutospacing="0" w:afterAutospacing="0" w:line="576" w:lineRule="exact"/>
        <w:ind w:firstLine="627" w:firstLineChars="196"/>
        <w:jc w:val="both"/>
        <w:textAlignment w:val="auto"/>
        <w:rPr>
          <w:rFonts w:hint="eastAsia" w:ascii="黑体" w:hAnsi="黑体" w:eastAsia="黑体" w:cs="黑体"/>
          <w:b w:val="0"/>
          <w:bCs/>
          <w:kern w:val="2"/>
          <w:sz w:val="32"/>
          <w:szCs w:val="32"/>
        </w:rPr>
      </w:pPr>
    </w:p>
    <w:p>
      <w:pPr>
        <w:pStyle w:val="7"/>
        <w:keepNext w:val="0"/>
        <w:keepLines w:val="0"/>
        <w:pageBreakBefore w:val="0"/>
        <w:kinsoku/>
        <w:wordWrap/>
        <w:overflowPunct/>
        <w:topLinePunct w:val="0"/>
        <w:autoSpaceDE/>
        <w:autoSpaceDN/>
        <w:bidi w:val="0"/>
        <w:adjustRightInd/>
        <w:snapToGrid/>
        <w:spacing w:beforeAutospacing="0" w:afterAutospacing="0" w:line="576" w:lineRule="exact"/>
        <w:jc w:val="both"/>
        <w:textAlignment w:val="auto"/>
        <w:rPr>
          <w:rFonts w:hint="eastAsia" w:ascii="黑体" w:hAnsi="黑体" w:eastAsia="黑体" w:cs="黑体"/>
          <w:b w:val="0"/>
          <w:bCs/>
          <w:kern w:val="2"/>
          <w:sz w:val="32"/>
          <w:szCs w:val="32"/>
        </w:rPr>
      </w:pPr>
    </w:p>
    <w:p>
      <w:pPr>
        <w:pStyle w:val="7"/>
        <w:keepNext w:val="0"/>
        <w:keepLines w:val="0"/>
        <w:pageBreakBefore w:val="0"/>
        <w:kinsoku/>
        <w:wordWrap/>
        <w:overflowPunct/>
        <w:topLinePunct w:val="0"/>
        <w:autoSpaceDE/>
        <w:autoSpaceDN/>
        <w:bidi w:val="0"/>
        <w:adjustRightInd/>
        <w:snapToGrid/>
        <w:spacing w:beforeAutospacing="0" w:afterAutospacing="0" w:line="576" w:lineRule="exact"/>
        <w:jc w:val="both"/>
        <w:textAlignment w:val="auto"/>
        <w:rPr>
          <w:rFonts w:hint="eastAsia" w:ascii="黑体" w:hAnsi="黑体" w:eastAsia="黑体" w:cs="黑体"/>
          <w:b w:val="0"/>
          <w:bCs/>
          <w:kern w:val="2"/>
          <w:sz w:val="32"/>
          <w:szCs w:val="32"/>
        </w:rPr>
      </w:pPr>
    </w:p>
    <w:p>
      <w:pPr>
        <w:pStyle w:val="7"/>
        <w:keepNext w:val="0"/>
        <w:keepLines w:val="0"/>
        <w:pageBreakBefore w:val="0"/>
        <w:kinsoku/>
        <w:wordWrap/>
        <w:overflowPunct/>
        <w:topLinePunct w:val="0"/>
        <w:autoSpaceDE/>
        <w:autoSpaceDN/>
        <w:bidi w:val="0"/>
        <w:adjustRightInd/>
        <w:snapToGrid/>
        <w:spacing w:beforeAutospacing="0" w:afterAutospacing="0" w:line="576" w:lineRule="exact"/>
        <w:jc w:val="both"/>
        <w:textAlignment w:val="auto"/>
        <w:rPr>
          <w:rFonts w:hint="eastAsia" w:ascii="黑体" w:hAnsi="黑体" w:eastAsia="黑体" w:cs="黑体"/>
          <w:b w:val="0"/>
          <w:bCs/>
          <w:kern w:val="2"/>
          <w:sz w:val="32"/>
          <w:szCs w:val="32"/>
        </w:rPr>
      </w:pPr>
    </w:p>
    <w:p>
      <w:pPr>
        <w:pStyle w:val="7"/>
        <w:keepNext w:val="0"/>
        <w:keepLines w:val="0"/>
        <w:pageBreakBefore w:val="0"/>
        <w:kinsoku/>
        <w:wordWrap/>
        <w:overflowPunct/>
        <w:topLinePunct w:val="0"/>
        <w:autoSpaceDE/>
        <w:autoSpaceDN/>
        <w:bidi w:val="0"/>
        <w:adjustRightInd/>
        <w:snapToGrid/>
        <w:spacing w:beforeAutospacing="0" w:afterAutospacing="0" w:line="576" w:lineRule="exact"/>
        <w:ind w:firstLine="627" w:firstLineChars="196"/>
        <w:jc w:val="both"/>
        <w:textAlignment w:val="auto"/>
        <w:rPr>
          <w:rFonts w:hint="eastAsia" w:ascii="黑体" w:hAnsi="黑体" w:eastAsia="黑体" w:cs="黑体"/>
          <w:b w:val="0"/>
          <w:bCs/>
          <w:kern w:val="2"/>
          <w:sz w:val="32"/>
          <w:szCs w:val="32"/>
        </w:rPr>
      </w:pPr>
      <w:r>
        <w:rPr>
          <w:rFonts w:hint="eastAsia" w:ascii="黑体" w:hAnsi="黑体" w:eastAsia="黑体" w:cs="黑体"/>
          <w:b w:val="0"/>
          <w:bCs/>
          <w:kern w:val="2"/>
          <w:sz w:val="32"/>
          <w:szCs w:val="32"/>
        </w:rPr>
        <w:t>1</w:t>
      </w:r>
      <w:r>
        <w:rPr>
          <w:rFonts w:hint="eastAsia" w:ascii="黑体" w:hAnsi="黑体" w:eastAsia="黑体" w:cs="黑体"/>
          <w:b w:val="0"/>
          <w:bCs/>
          <w:kern w:val="2"/>
          <w:sz w:val="32"/>
          <w:szCs w:val="32"/>
          <w:lang w:val="en-US" w:eastAsia="zh-CN"/>
        </w:rPr>
        <w:t>.</w:t>
      </w:r>
      <w:r>
        <w:rPr>
          <w:rFonts w:hint="eastAsia" w:ascii="黑体" w:hAnsi="黑体" w:eastAsia="黑体" w:cs="黑体"/>
          <w:b w:val="0"/>
          <w:bCs/>
          <w:kern w:val="2"/>
          <w:sz w:val="32"/>
          <w:szCs w:val="32"/>
        </w:rPr>
        <w:t>总则</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ind w:firstLine="640" w:firstLineChars="200"/>
        <w:jc w:val="both"/>
        <w:textAlignment w:val="auto"/>
        <w:rPr>
          <w:rFonts w:hint="eastAsia" w:ascii="仿宋" w:hAnsi="仿宋" w:eastAsia="仿宋" w:cs="仿宋"/>
          <w:b w:val="0"/>
          <w:bCs/>
          <w:kern w:val="2"/>
          <w:sz w:val="32"/>
          <w:szCs w:val="32"/>
        </w:rPr>
      </w:pPr>
      <w:r>
        <w:rPr>
          <w:rFonts w:hint="eastAsia" w:ascii="楷体_GB2312" w:hAnsi="Calibri" w:eastAsia="楷体_GB2312" w:cs="Times New Roman"/>
          <w:kern w:val="2"/>
          <w:sz w:val="32"/>
          <w:szCs w:val="32"/>
          <w:lang w:val="en-US" w:eastAsia="zh-CN" w:bidi="ar-SA"/>
        </w:rPr>
        <w:t>1.1编制目的</w:t>
      </w:r>
    </w:p>
    <w:p>
      <w:pPr>
        <w:pStyle w:val="7"/>
        <w:keepNext w:val="0"/>
        <w:keepLines w:val="0"/>
        <w:pageBreakBefore w:val="0"/>
        <w:kinsoku/>
        <w:wordWrap/>
        <w:overflowPunct/>
        <w:topLinePunct w:val="0"/>
        <w:autoSpaceDE/>
        <w:autoSpaceDN/>
        <w:bidi w:val="0"/>
        <w:adjustRightInd/>
        <w:snapToGrid/>
        <w:spacing w:beforeAutospacing="0" w:afterAutospacing="0" w:line="576" w:lineRule="exact"/>
        <w:ind w:firstLine="640" w:firstLineChars="200"/>
        <w:jc w:val="both"/>
        <w:textAlignment w:val="auto"/>
        <w:rPr>
          <w:rFonts w:hint="eastAsia" w:ascii="仿宋_GB2312" w:hAnsi="仿宋_GB2312" w:eastAsia="仿宋_GB2312" w:cs="仿宋_GB2312"/>
          <w:b w:val="0"/>
          <w:bCs/>
          <w:kern w:val="2"/>
          <w:sz w:val="32"/>
          <w:szCs w:val="32"/>
        </w:rPr>
      </w:pPr>
      <w:r>
        <w:rPr>
          <w:rFonts w:hint="eastAsia" w:ascii="仿宋_GB2312" w:hAnsi="仿宋_GB2312" w:eastAsia="仿宋_GB2312" w:cs="仿宋_GB2312"/>
          <w:b w:val="0"/>
          <w:bCs/>
          <w:kern w:val="2"/>
          <w:sz w:val="32"/>
          <w:szCs w:val="32"/>
        </w:rPr>
        <w:t>为建立健全我</w:t>
      </w:r>
      <w:r>
        <w:rPr>
          <w:rFonts w:hint="eastAsia" w:ascii="仿宋_GB2312" w:hAnsi="仿宋_GB2312" w:eastAsia="仿宋_GB2312" w:cs="仿宋_GB2312"/>
          <w:b w:val="0"/>
          <w:bCs/>
          <w:kern w:val="2"/>
          <w:sz w:val="32"/>
          <w:szCs w:val="32"/>
          <w:lang w:eastAsia="zh-CN"/>
        </w:rPr>
        <w:t>区</w:t>
      </w:r>
      <w:r>
        <w:rPr>
          <w:rFonts w:hint="eastAsia" w:ascii="仿宋_GB2312" w:hAnsi="仿宋_GB2312" w:eastAsia="仿宋_GB2312" w:cs="仿宋_GB2312"/>
          <w:b w:val="0"/>
          <w:bCs/>
          <w:kern w:val="2"/>
          <w:sz w:val="32"/>
          <w:szCs w:val="32"/>
        </w:rPr>
        <w:t>疫苗安全事件应急处置机制，有效预防、积极应对疫苗安全事件，高效组织应急处置工作，最大限度降低疫苗安全事件危害，保障公众健康和生命安全，维护正常的社会经济秩序，结合我</w:t>
      </w:r>
      <w:r>
        <w:rPr>
          <w:rFonts w:hint="eastAsia" w:ascii="仿宋_GB2312" w:hAnsi="仿宋_GB2312" w:eastAsia="仿宋_GB2312" w:cs="仿宋_GB2312"/>
          <w:b w:val="0"/>
          <w:bCs/>
          <w:kern w:val="2"/>
          <w:sz w:val="32"/>
          <w:szCs w:val="32"/>
          <w:lang w:eastAsia="zh-CN"/>
        </w:rPr>
        <w:t>区</w:t>
      </w:r>
      <w:r>
        <w:rPr>
          <w:rFonts w:hint="eastAsia" w:ascii="仿宋_GB2312" w:hAnsi="仿宋_GB2312" w:eastAsia="仿宋_GB2312" w:cs="仿宋_GB2312"/>
          <w:b w:val="0"/>
          <w:bCs/>
          <w:kern w:val="2"/>
          <w:sz w:val="32"/>
          <w:szCs w:val="32"/>
        </w:rPr>
        <w:t>实际，制定本预案。</w:t>
      </w:r>
    </w:p>
    <w:p>
      <w:pPr>
        <w:pStyle w:val="7"/>
        <w:keepNext w:val="0"/>
        <w:keepLines w:val="0"/>
        <w:pageBreakBefore w:val="0"/>
        <w:kinsoku/>
        <w:wordWrap/>
        <w:overflowPunct/>
        <w:topLinePunct w:val="0"/>
        <w:autoSpaceDE/>
        <w:autoSpaceDN/>
        <w:bidi w:val="0"/>
        <w:adjustRightInd/>
        <w:snapToGrid/>
        <w:spacing w:beforeAutospacing="0" w:afterAutospacing="0" w:line="576" w:lineRule="exact"/>
        <w:ind w:firstLine="640" w:firstLineChars="200"/>
        <w:jc w:val="both"/>
        <w:textAlignment w:val="auto"/>
        <w:rPr>
          <w:rFonts w:hint="eastAsia" w:ascii="仿宋" w:hAnsi="仿宋" w:eastAsia="仿宋" w:cs="仿宋"/>
          <w:b w:val="0"/>
          <w:bCs/>
          <w:kern w:val="2"/>
          <w:sz w:val="32"/>
          <w:szCs w:val="32"/>
        </w:rPr>
      </w:pPr>
      <w:r>
        <w:rPr>
          <w:rFonts w:hint="eastAsia" w:ascii="仿宋" w:hAnsi="仿宋" w:eastAsia="仿宋" w:cs="仿宋"/>
          <w:b w:val="0"/>
          <w:bCs/>
          <w:kern w:val="2"/>
          <w:sz w:val="32"/>
          <w:szCs w:val="32"/>
        </w:rPr>
        <w:t>1.</w:t>
      </w:r>
      <w:r>
        <w:rPr>
          <w:rFonts w:hint="eastAsia" w:ascii="仿宋" w:hAnsi="仿宋" w:eastAsia="仿宋" w:cs="仿宋"/>
          <w:b w:val="0"/>
          <w:bCs/>
          <w:kern w:val="2"/>
          <w:sz w:val="32"/>
          <w:szCs w:val="32"/>
          <w:lang w:val="en-US" w:eastAsia="zh-CN"/>
        </w:rPr>
        <w:t>2</w:t>
      </w:r>
      <w:r>
        <w:rPr>
          <w:rFonts w:hint="eastAsia" w:ascii="楷体_GB2312" w:hAnsi="Calibri" w:eastAsia="楷体_GB2312" w:cs="Times New Roman"/>
          <w:kern w:val="2"/>
          <w:sz w:val="32"/>
          <w:szCs w:val="32"/>
          <w:lang w:val="en-US" w:eastAsia="zh-CN" w:bidi="ar-SA"/>
        </w:rPr>
        <w:t>编制依据</w:t>
      </w:r>
    </w:p>
    <w:p>
      <w:pPr>
        <w:pStyle w:val="7"/>
        <w:keepNext w:val="0"/>
        <w:keepLines w:val="0"/>
        <w:pageBreakBefore w:val="0"/>
        <w:kinsoku/>
        <w:wordWrap/>
        <w:overflowPunct/>
        <w:topLinePunct w:val="0"/>
        <w:autoSpaceDE/>
        <w:autoSpaceDN/>
        <w:bidi w:val="0"/>
        <w:adjustRightInd/>
        <w:snapToGrid/>
        <w:spacing w:beforeAutospacing="0" w:afterAutospacing="0" w:line="576" w:lineRule="exact"/>
        <w:ind w:firstLine="640" w:firstLineChars="200"/>
        <w:jc w:val="both"/>
        <w:textAlignment w:val="auto"/>
        <w:rPr>
          <w:rFonts w:hint="eastAsia" w:ascii="仿宋_GB2312" w:hAnsi="仿宋_GB2312" w:eastAsia="仿宋_GB2312" w:cs="仿宋_GB2312"/>
          <w:b w:val="0"/>
          <w:bCs/>
          <w:kern w:val="2"/>
          <w:sz w:val="32"/>
          <w:szCs w:val="32"/>
        </w:rPr>
      </w:pPr>
      <w:r>
        <w:rPr>
          <w:rFonts w:hint="eastAsia" w:ascii="仿宋_GB2312" w:hAnsi="仿宋_GB2312" w:eastAsia="仿宋_GB2312" w:cs="仿宋_GB2312"/>
          <w:b w:val="0"/>
          <w:bCs/>
          <w:kern w:val="2"/>
          <w:sz w:val="32"/>
          <w:szCs w:val="32"/>
        </w:rPr>
        <w:t>依据</w:t>
      </w:r>
      <w:r>
        <w:rPr>
          <w:rFonts w:hint="eastAsia" w:ascii="仿宋_GB2312" w:hAnsi="仿宋_GB2312" w:eastAsia="仿宋_GB2312" w:cs="仿宋_GB2312"/>
          <w:b w:val="0"/>
          <w:bCs/>
          <w:kern w:val="2"/>
          <w:sz w:val="32"/>
          <w:szCs w:val="32"/>
          <w:lang w:eastAsia="zh-CN"/>
        </w:rPr>
        <w:t>《中华人民共和国疫苗管理法》《</w:t>
      </w:r>
      <w:r>
        <w:rPr>
          <w:rFonts w:hint="eastAsia" w:ascii="仿宋_GB2312" w:hAnsi="仿宋_GB2312" w:eastAsia="仿宋_GB2312" w:cs="仿宋_GB2312"/>
          <w:b w:val="0"/>
          <w:bCs/>
          <w:kern w:val="2"/>
          <w:sz w:val="32"/>
          <w:szCs w:val="32"/>
        </w:rPr>
        <w:t>山东省疫苗安全事件应急预案</w:t>
      </w:r>
      <w:r>
        <w:rPr>
          <w:rFonts w:hint="eastAsia" w:ascii="仿宋_GB2312" w:hAnsi="仿宋_GB2312" w:eastAsia="仿宋_GB2312" w:cs="仿宋_GB2312"/>
          <w:b w:val="0"/>
          <w:bCs/>
          <w:kern w:val="2"/>
          <w:sz w:val="32"/>
          <w:szCs w:val="32"/>
          <w:lang w:eastAsia="zh-CN"/>
        </w:rPr>
        <w:t>》《</w:t>
      </w:r>
      <w:r>
        <w:rPr>
          <w:rFonts w:hint="eastAsia" w:ascii="仿宋_GB2312" w:hAnsi="仿宋_GB2312" w:eastAsia="仿宋_GB2312" w:cs="仿宋_GB2312"/>
          <w:b w:val="0"/>
          <w:bCs/>
          <w:color w:val="auto"/>
          <w:kern w:val="2"/>
          <w:sz w:val="32"/>
          <w:szCs w:val="32"/>
          <w:lang w:eastAsia="zh-CN"/>
        </w:rPr>
        <w:t>聊城市突发事件总体应急预案》《</w:t>
      </w:r>
      <w:r>
        <w:rPr>
          <w:rFonts w:hint="eastAsia" w:ascii="仿宋_GB2312" w:hAnsi="仿宋_GB2312" w:eastAsia="仿宋_GB2312" w:cs="仿宋_GB2312"/>
          <w:b w:val="0"/>
          <w:bCs/>
          <w:kern w:val="2"/>
          <w:sz w:val="32"/>
          <w:szCs w:val="32"/>
          <w:lang w:val="en" w:eastAsia="zh-CN"/>
        </w:rPr>
        <w:t>聊城市疫苗安全事件应急预案》</w:t>
      </w:r>
      <w:r>
        <w:rPr>
          <w:rFonts w:hint="eastAsia" w:ascii="仿宋_GB2312" w:hAnsi="仿宋_GB2312" w:eastAsia="仿宋_GB2312" w:cs="仿宋_GB2312"/>
          <w:b w:val="0"/>
          <w:bCs/>
          <w:kern w:val="2"/>
          <w:sz w:val="32"/>
          <w:szCs w:val="32"/>
        </w:rPr>
        <w:t>等法律法规及有关规定。</w:t>
      </w:r>
    </w:p>
    <w:p>
      <w:pPr>
        <w:pStyle w:val="7"/>
        <w:keepNext w:val="0"/>
        <w:keepLines w:val="0"/>
        <w:pageBreakBefore w:val="0"/>
        <w:kinsoku/>
        <w:wordWrap/>
        <w:overflowPunct/>
        <w:topLinePunct w:val="0"/>
        <w:autoSpaceDE/>
        <w:autoSpaceDN/>
        <w:bidi w:val="0"/>
        <w:adjustRightInd/>
        <w:snapToGrid/>
        <w:spacing w:beforeAutospacing="0" w:afterAutospacing="0" w:line="576" w:lineRule="exact"/>
        <w:ind w:firstLine="640" w:firstLineChars="200"/>
        <w:jc w:val="both"/>
        <w:textAlignment w:val="auto"/>
        <w:rPr>
          <w:rFonts w:hint="eastAsia" w:ascii="楷体_GB2312" w:hAnsi="楷体_GB2312" w:eastAsia="楷体_GB2312" w:cs="楷体_GB2312"/>
          <w:b w:val="0"/>
          <w:bCs/>
          <w:kern w:val="2"/>
          <w:sz w:val="32"/>
          <w:szCs w:val="32"/>
        </w:rPr>
      </w:pPr>
      <w:r>
        <w:rPr>
          <w:rFonts w:hint="eastAsia" w:ascii="楷体_GB2312" w:hAnsi="楷体_GB2312" w:eastAsia="楷体_GB2312" w:cs="楷体_GB2312"/>
          <w:b w:val="0"/>
          <w:bCs/>
          <w:kern w:val="2"/>
          <w:sz w:val="32"/>
          <w:szCs w:val="32"/>
        </w:rPr>
        <w:t>1.3</w:t>
      </w:r>
      <w:r>
        <w:rPr>
          <w:rFonts w:hint="eastAsia" w:ascii="楷体_GB2312" w:hAnsi="楷体_GB2312" w:eastAsia="楷体_GB2312" w:cs="楷体_GB2312"/>
          <w:kern w:val="2"/>
          <w:sz w:val="32"/>
          <w:szCs w:val="32"/>
          <w:lang w:val="en-US" w:eastAsia="zh-CN" w:bidi="ar-SA"/>
        </w:rPr>
        <w:t>适用范围</w:t>
      </w:r>
    </w:p>
    <w:p>
      <w:pPr>
        <w:pStyle w:val="7"/>
        <w:keepNext w:val="0"/>
        <w:keepLines w:val="0"/>
        <w:pageBreakBefore w:val="0"/>
        <w:kinsoku/>
        <w:wordWrap/>
        <w:overflowPunct/>
        <w:topLinePunct w:val="0"/>
        <w:autoSpaceDE/>
        <w:autoSpaceDN/>
        <w:bidi w:val="0"/>
        <w:adjustRightInd/>
        <w:snapToGrid/>
        <w:spacing w:beforeAutospacing="0" w:afterAutospacing="0" w:line="576" w:lineRule="exact"/>
        <w:ind w:firstLine="640" w:firstLineChars="200"/>
        <w:jc w:val="both"/>
        <w:textAlignment w:val="auto"/>
        <w:rPr>
          <w:rFonts w:hint="eastAsia" w:ascii="仿宋_GB2312" w:hAnsi="仿宋_GB2312" w:eastAsia="仿宋_GB2312" w:cs="仿宋_GB2312"/>
          <w:b w:val="0"/>
          <w:bCs/>
          <w:kern w:val="2"/>
          <w:sz w:val="32"/>
          <w:szCs w:val="32"/>
        </w:rPr>
      </w:pPr>
      <w:r>
        <w:rPr>
          <w:rFonts w:hint="eastAsia" w:ascii="仿宋_GB2312" w:hAnsi="仿宋_GB2312" w:eastAsia="仿宋_GB2312" w:cs="仿宋_GB2312"/>
          <w:b w:val="0"/>
          <w:bCs/>
          <w:kern w:val="2"/>
          <w:sz w:val="32"/>
          <w:szCs w:val="32"/>
        </w:rPr>
        <w:t>本预案所称的疫苗安全事件，是指发生疫苗疑似预防接种反应、群体不良事件，经组织专家调查诊断确认或怀疑与疫苗质量有关，或者日常监督检查和风险监测中发现的疫苗安全信息，以及其他严重影响公众健康的疫苗安全事件。</w:t>
      </w:r>
    </w:p>
    <w:p>
      <w:pPr>
        <w:pStyle w:val="7"/>
        <w:keepNext w:val="0"/>
        <w:keepLines w:val="0"/>
        <w:pageBreakBefore w:val="0"/>
        <w:kinsoku/>
        <w:wordWrap/>
        <w:overflowPunct/>
        <w:topLinePunct w:val="0"/>
        <w:autoSpaceDE/>
        <w:autoSpaceDN/>
        <w:bidi w:val="0"/>
        <w:adjustRightInd/>
        <w:snapToGrid/>
        <w:spacing w:beforeAutospacing="0" w:afterAutospacing="0" w:line="576" w:lineRule="exact"/>
        <w:ind w:firstLine="640" w:firstLineChars="200"/>
        <w:jc w:val="both"/>
        <w:textAlignment w:val="auto"/>
        <w:rPr>
          <w:rFonts w:hint="eastAsia" w:ascii="仿宋_GB2312" w:hAnsi="仿宋_GB2312" w:eastAsia="仿宋_GB2312" w:cs="仿宋_GB2312"/>
          <w:b w:val="0"/>
          <w:bCs/>
          <w:kern w:val="2"/>
          <w:sz w:val="32"/>
          <w:szCs w:val="32"/>
        </w:rPr>
      </w:pPr>
      <w:r>
        <w:rPr>
          <w:rFonts w:hint="eastAsia" w:ascii="仿宋_GB2312" w:hAnsi="仿宋_GB2312" w:eastAsia="仿宋_GB2312" w:cs="仿宋_GB2312"/>
          <w:b w:val="0"/>
          <w:bCs/>
          <w:kern w:val="2"/>
          <w:sz w:val="32"/>
          <w:szCs w:val="32"/>
        </w:rPr>
        <w:t>本预案适用于</w:t>
      </w:r>
      <w:r>
        <w:rPr>
          <w:rFonts w:hint="eastAsia" w:ascii="仿宋_GB2312" w:hAnsi="仿宋_GB2312" w:eastAsia="仿宋_GB2312" w:cs="仿宋_GB2312"/>
          <w:b w:val="0"/>
          <w:bCs/>
          <w:kern w:val="2"/>
          <w:sz w:val="32"/>
          <w:szCs w:val="32"/>
          <w:lang w:eastAsia="zh-CN"/>
        </w:rPr>
        <w:t>聊城经济技术开发区</w:t>
      </w:r>
      <w:r>
        <w:rPr>
          <w:rFonts w:hint="eastAsia" w:ascii="仿宋_GB2312" w:hAnsi="仿宋_GB2312" w:eastAsia="仿宋_GB2312" w:cs="仿宋_GB2312"/>
          <w:b w:val="0"/>
          <w:bCs/>
          <w:kern w:val="2"/>
          <w:sz w:val="32"/>
          <w:szCs w:val="32"/>
        </w:rPr>
        <w:t>区域内的疫苗安全事件应对处置工作。</w:t>
      </w:r>
    </w:p>
    <w:p>
      <w:pPr>
        <w:pStyle w:val="7"/>
        <w:keepNext w:val="0"/>
        <w:keepLines w:val="0"/>
        <w:pageBreakBefore w:val="0"/>
        <w:kinsoku/>
        <w:wordWrap/>
        <w:overflowPunct/>
        <w:topLinePunct w:val="0"/>
        <w:autoSpaceDE/>
        <w:autoSpaceDN/>
        <w:bidi w:val="0"/>
        <w:adjustRightInd/>
        <w:snapToGrid/>
        <w:spacing w:beforeAutospacing="0" w:afterAutospacing="0" w:line="576" w:lineRule="exact"/>
        <w:ind w:firstLine="640" w:firstLineChars="200"/>
        <w:jc w:val="both"/>
        <w:textAlignment w:val="auto"/>
        <w:rPr>
          <w:rFonts w:hint="eastAsia" w:ascii="楷体_GB2312" w:hAnsi="楷体_GB2312" w:eastAsia="楷体_GB2312" w:cs="楷体_GB2312"/>
          <w:b w:val="0"/>
          <w:bCs/>
          <w:kern w:val="2"/>
          <w:sz w:val="32"/>
          <w:szCs w:val="32"/>
        </w:rPr>
      </w:pPr>
      <w:r>
        <w:rPr>
          <w:rFonts w:hint="eastAsia" w:ascii="楷体_GB2312" w:hAnsi="楷体_GB2312" w:eastAsia="楷体_GB2312" w:cs="楷体_GB2312"/>
          <w:b w:val="0"/>
          <w:bCs/>
          <w:kern w:val="2"/>
          <w:sz w:val="32"/>
          <w:szCs w:val="32"/>
        </w:rPr>
        <w:t>1.4</w:t>
      </w:r>
      <w:r>
        <w:rPr>
          <w:rFonts w:hint="eastAsia" w:ascii="楷体_GB2312" w:hAnsi="楷体_GB2312" w:eastAsia="楷体_GB2312" w:cs="楷体_GB2312"/>
          <w:kern w:val="2"/>
          <w:sz w:val="32"/>
          <w:szCs w:val="32"/>
          <w:lang w:val="en-US" w:eastAsia="zh-CN" w:bidi="ar-SA"/>
        </w:rPr>
        <w:t>分级标准</w:t>
      </w:r>
    </w:p>
    <w:p>
      <w:pPr>
        <w:pStyle w:val="7"/>
        <w:keepNext w:val="0"/>
        <w:keepLines w:val="0"/>
        <w:pageBreakBefore w:val="0"/>
        <w:kinsoku/>
        <w:wordWrap/>
        <w:overflowPunct/>
        <w:topLinePunct w:val="0"/>
        <w:autoSpaceDE/>
        <w:autoSpaceDN/>
        <w:bidi w:val="0"/>
        <w:adjustRightInd/>
        <w:snapToGrid/>
        <w:spacing w:beforeAutospacing="0" w:afterAutospacing="0" w:line="576" w:lineRule="exact"/>
        <w:ind w:firstLine="640" w:firstLineChars="200"/>
        <w:jc w:val="both"/>
        <w:textAlignment w:val="auto"/>
        <w:rPr>
          <w:rFonts w:hint="eastAsia" w:ascii="仿宋_GB2312" w:hAnsi="仿宋_GB2312" w:eastAsia="仿宋_GB2312" w:cs="仿宋_GB2312"/>
          <w:b w:val="0"/>
          <w:bCs/>
          <w:kern w:val="2"/>
          <w:sz w:val="32"/>
          <w:szCs w:val="32"/>
        </w:rPr>
      </w:pPr>
      <w:r>
        <w:rPr>
          <w:rFonts w:hint="eastAsia" w:ascii="仿宋_GB2312" w:hAnsi="仿宋_GB2312" w:eastAsia="仿宋_GB2312" w:cs="仿宋_GB2312"/>
          <w:b w:val="0"/>
          <w:bCs/>
          <w:kern w:val="2"/>
          <w:sz w:val="32"/>
          <w:szCs w:val="32"/>
        </w:rPr>
        <w:t>疫苗安全事件分为特别重大、重大、较大和一般4个级别，依次对应Ⅰ、Ⅱ、Ⅲ、Ⅳ级响应（具体标准见附件1）。</w:t>
      </w:r>
    </w:p>
    <w:p>
      <w:pPr>
        <w:pStyle w:val="7"/>
        <w:keepNext w:val="0"/>
        <w:keepLines w:val="0"/>
        <w:pageBreakBefore w:val="0"/>
        <w:kinsoku/>
        <w:wordWrap/>
        <w:overflowPunct/>
        <w:topLinePunct w:val="0"/>
        <w:autoSpaceDE/>
        <w:autoSpaceDN/>
        <w:bidi w:val="0"/>
        <w:adjustRightInd/>
        <w:snapToGrid/>
        <w:spacing w:beforeAutospacing="0" w:afterAutospacing="0" w:line="576" w:lineRule="exact"/>
        <w:ind w:firstLine="640" w:firstLineChars="200"/>
        <w:jc w:val="both"/>
        <w:textAlignment w:val="auto"/>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b w:val="0"/>
          <w:bCs/>
          <w:kern w:val="2"/>
          <w:sz w:val="32"/>
          <w:szCs w:val="32"/>
        </w:rPr>
        <w:t>1.5</w:t>
      </w:r>
      <w:r>
        <w:rPr>
          <w:rFonts w:hint="eastAsia" w:ascii="楷体_GB2312" w:hAnsi="楷体_GB2312" w:eastAsia="楷体_GB2312" w:cs="楷体_GB2312"/>
          <w:kern w:val="2"/>
          <w:sz w:val="32"/>
          <w:szCs w:val="32"/>
          <w:lang w:val="en-US" w:eastAsia="zh-CN" w:bidi="ar-SA"/>
        </w:rPr>
        <w:t>处置原则</w:t>
      </w:r>
    </w:p>
    <w:p>
      <w:pPr>
        <w:pStyle w:val="7"/>
        <w:keepNext w:val="0"/>
        <w:keepLines w:val="0"/>
        <w:pageBreakBefore w:val="0"/>
        <w:kinsoku/>
        <w:wordWrap/>
        <w:overflowPunct/>
        <w:topLinePunct w:val="0"/>
        <w:autoSpaceDE/>
        <w:autoSpaceDN/>
        <w:bidi w:val="0"/>
        <w:adjustRightInd/>
        <w:snapToGrid/>
        <w:spacing w:beforeAutospacing="0" w:afterAutospacing="0" w:line="576" w:lineRule="exact"/>
        <w:ind w:firstLine="640" w:firstLineChars="200"/>
        <w:jc w:val="both"/>
        <w:textAlignment w:val="auto"/>
        <w:rPr>
          <w:rFonts w:hint="eastAsia" w:ascii="仿宋_GB2312" w:hAnsi="仿宋_GB2312" w:eastAsia="仿宋_GB2312" w:cs="仿宋_GB2312"/>
          <w:b w:val="0"/>
          <w:bCs/>
          <w:kern w:val="2"/>
          <w:sz w:val="32"/>
          <w:szCs w:val="32"/>
          <w:lang w:val="en-US" w:eastAsia="zh-CN"/>
        </w:rPr>
      </w:pPr>
      <w:r>
        <w:rPr>
          <w:rFonts w:hint="eastAsia" w:ascii="仿宋_GB2312" w:hAnsi="仿宋_GB2312" w:eastAsia="仿宋_GB2312" w:cs="仿宋_GB2312"/>
          <w:b w:val="0"/>
          <w:bCs/>
          <w:kern w:val="2"/>
          <w:sz w:val="32"/>
          <w:szCs w:val="32"/>
          <w:lang w:eastAsia="zh-CN"/>
        </w:rPr>
        <w:t>疫苗安全事件应急处置工作</w:t>
      </w:r>
      <w:r>
        <w:rPr>
          <w:rFonts w:hint="eastAsia" w:ascii="仿宋_GB2312" w:hAnsi="仿宋_GB2312" w:eastAsia="仿宋_GB2312" w:cs="仿宋_GB2312"/>
          <w:b w:val="0"/>
          <w:bCs/>
          <w:kern w:val="2"/>
          <w:sz w:val="32"/>
          <w:szCs w:val="32"/>
        </w:rPr>
        <w:t>遵循统一领导、分级负责、预防为主、快速反应、协同应对、依法规范、科学处置的原则。</w:t>
      </w:r>
      <w:r>
        <w:rPr>
          <w:rFonts w:hint="eastAsia" w:ascii="仿宋_GB2312" w:hAnsi="仿宋_GB2312" w:eastAsia="仿宋_GB2312" w:cs="仿宋_GB2312"/>
          <w:b w:val="0"/>
          <w:bCs/>
          <w:kern w:val="2"/>
          <w:sz w:val="32"/>
          <w:szCs w:val="32"/>
          <w:lang w:eastAsia="zh-CN"/>
        </w:rPr>
        <w:t>乡镇、街道以上地方政府对本行政区域疫苗监督管理工作负责，统一领导、组织、协调本行政区域疫苗监督</w:t>
      </w:r>
      <w:r>
        <w:rPr>
          <w:rFonts w:hint="eastAsia" w:ascii="仿宋_GB2312" w:hAnsi="仿宋_GB2312" w:eastAsia="仿宋_GB2312" w:cs="仿宋_GB2312"/>
          <w:b w:val="0"/>
          <w:bCs/>
          <w:kern w:val="2"/>
          <w:sz w:val="32"/>
          <w:szCs w:val="32"/>
          <w:lang w:val="en-US" w:eastAsia="zh-CN"/>
        </w:rPr>
        <w:t>工作。</w:t>
      </w:r>
    </w:p>
    <w:p>
      <w:pPr>
        <w:pStyle w:val="7"/>
        <w:keepNext w:val="0"/>
        <w:keepLines w:val="0"/>
        <w:pageBreakBefore w:val="0"/>
        <w:kinsoku/>
        <w:wordWrap/>
        <w:overflowPunct/>
        <w:topLinePunct w:val="0"/>
        <w:autoSpaceDE/>
        <w:autoSpaceDN/>
        <w:bidi w:val="0"/>
        <w:adjustRightInd/>
        <w:snapToGrid/>
        <w:spacing w:beforeAutospacing="0" w:afterAutospacing="0" w:line="576" w:lineRule="exact"/>
        <w:ind w:firstLine="627" w:firstLineChars="196"/>
        <w:jc w:val="both"/>
        <w:textAlignment w:val="auto"/>
        <w:rPr>
          <w:rFonts w:hint="eastAsia" w:ascii="黑体" w:hAnsi="黑体" w:eastAsia="黑体" w:cs="黑体"/>
          <w:b w:val="0"/>
          <w:bCs/>
          <w:kern w:val="2"/>
          <w:sz w:val="32"/>
          <w:szCs w:val="32"/>
        </w:rPr>
      </w:pPr>
      <w:r>
        <w:rPr>
          <w:rFonts w:hint="eastAsia" w:ascii="黑体" w:hAnsi="黑体" w:eastAsia="黑体" w:cs="黑体"/>
          <w:b w:val="0"/>
          <w:bCs/>
          <w:kern w:val="2"/>
          <w:sz w:val="32"/>
          <w:szCs w:val="32"/>
        </w:rPr>
        <w:t>2</w:t>
      </w:r>
      <w:r>
        <w:rPr>
          <w:rFonts w:hint="eastAsia" w:ascii="黑体" w:hAnsi="黑体" w:eastAsia="黑体" w:cs="黑体"/>
          <w:b w:val="0"/>
          <w:bCs/>
          <w:kern w:val="2"/>
          <w:sz w:val="32"/>
          <w:szCs w:val="32"/>
          <w:lang w:val="en-US" w:eastAsia="zh-CN"/>
        </w:rPr>
        <w:t>.</w:t>
      </w:r>
      <w:r>
        <w:rPr>
          <w:rFonts w:hint="eastAsia" w:ascii="黑体" w:hAnsi="黑体" w:eastAsia="黑体" w:cs="黑体"/>
          <w:b w:val="0"/>
          <w:bCs/>
          <w:kern w:val="2"/>
          <w:sz w:val="32"/>
          <w:szCs w:val="32"/>
        </w:rPr>
        <w:t>组织体系</w:t>
      </w:r>
    </w:p>
    <w:p>
      <w:pPr>
        <w:pStyle w:val="7"/>
        <w:keepNext w:val="0"/>
        <w:keepLines w:val="0"/>
        <w:pageBreakBefore w:val="0"/>
        <w:kinsoku/>
        <w:wordWrap/>
        <w:overflowPunct/>
        <w:topLinePunct w:val="0"/>
        <w:autoSpaceDE/>
        <w:autoSpaceDN/>
        <w:bidi w:val="0"/>
        <w:adjustRightInd/>
        <w:snapToGrid/>
        <w:spacing w:beforeAutospacing="0" w:afterAutospacing="0" w:line="576" w:lineRule="exact"/>
        <w:ind w:firstLine="640" w:firstLineChars="200"/>
        <w:jc w:val="both"/>
        <w:textAlignment w:val="auto"/>
        <w:rPr>
          <w:rFonts w:hint="eastAsia" w:ascii="楷体_GB2312" w:hAnsi="楷体_GB2312" w:eastAsia="楷体_GB2312" w:cs="楷体_GB2312"/>
          <w:b w:val="0"/>
          <w:bCs/>
          <w:kern w:val="2"/>
          <w:sz w:val="32"/>
          <w:szCs w:val="32"/>
        </w:rPr>
      </w:pPr>
      <w:r>
        <w:rPr>
          <w:rFonts w:hint="eastAsia" w:ascii="楷体_GB2312" w:hAnsi="楷体_GB2312" w:eastAsia="楷体_GB2312" w:cs="楷体_GB2312"/>
          <w:b w:val="0"/>
          <w:bCs/>
          <w:kern w:val="2"/>
          <w:sz w:val="32"/>
          <w:szCs w:val="32"/>
        </w:rPr>
        <w:t>2.1</w:t>
      </w:r>
      <w:r>
        <w:rPr>
          <w:rFonts w:hint="eastAsia" w:ascii="楷体_GB2312" w:hAnsi="楷体_GB2312" w:eastAsia="楷体_GB2312" w:cs="楷体_GB2312"/>
          <w:kern w:val="2"/>
          <w:sz w:val="32"/>
          <w:szCs w:val="32"/>
          <w:lang w:val="en-US" w:eastAsia="zh-CN" w:bidi="ar-SA"/>
        </w:rPr>
        <w:t>应急指挥体系</w:t>
      </w:r>
    </w:p>
    <w:p>
      <w:pPr>
        <w:pStyle w:val="7"/>
        <w:keepNext w:val="0"/>
        <w:keepLines w:val="0"/>
        <w:pageBreakBefore w:val="0"/>
        <w:kinsoku/>
        <w:wordWrap/>
        <w:overflowPunct/>
        <w:topLinePunct w:val="0"/>
        <w:autoSpaceDE/>
        <w:autoSpaceDN/>
        <w:bidi w:val="0"/>
        <w:adjustRightInd/>
        <w:snapToGrid/>
        <w:spacing w:beforeAutospacing="0" w:afterAutospacing="0" w:line="576" w:lineRule="exact"/>
        <w:ind w:firstLine="640" w:firstLineChars="200"/>
        <w:jc w:val="both"/>
        <w:textAlignment w:val="auto"/>
        <w:rPr>
          <w:rFonts w:hint="eastAsia" w:ascii="仿宋_GB2312" w:hAnsi="仿宋_GB2312" w:eastAsia="仿宋_GB2312" w:cs="仿宋_GB2312"/>
          <w:b w:val="0"/>
          <w:bCs/>
          <w:kern w:val="2"/>
          <w:sz w:val="32"/>
          <w:szCs w:val="32"/>
          <w:lang w:eastAsia="zh-CN"/>
        </w:rPr>
      </w:pPr>
      <w:r>
        <w:rPr>
          <w:rFonts w:hint="eastAsia" w:ascii="仿宋_GB2312" w:hAnsi="仿宋_GB2312" w:eastAsia="仿宋_GB2312" w:cs="仿宋_GB2312"/>
          <w:b w:val="0"/>
          <w:bCs/>
          <w:kern w:val="2"/>
          <w:sz w:val="32"/>
          <w:szCs w:val="32"/>
        </w:rPr>
        <w:t>全</w:t>
      </w:r>
      <w:r>
        <w:rPr>
          <w:rFonts w:hint="eastAsia" w:ascii="仿宋_GB2312" w:hAnsi="仿宋_GB2312" w:eastAsia="仿宋_GB2312" w:cs="仿宋_GB2312"/>
          <w:b w:val="0"/>
          <w:bCs/>
          <w:kern w:val="2"/>
          <w:sz w:val="32"/>
          <w:szCs w:val="32"/>
          <w:lang w:eastAsia="zh-CN"/>
        </w:rPr>
        <w:t>区</w:t>
      </w:r>
      <w:r>
        <w:rPr>
          <w:rFonts w:hint="eastAsia" w:ascii="仿宋_GB2312" w:hAnsi="仿宋_GB2312" w:eastAsia="仿宋_GB2312" w:cs="仿宋_GB2312"/>
          <w:b w:val="0"/>
          <w:bCs/>
          <w:kern w:val="2"/>
          <w:sz w:val="32"/>
          <w:szCs w:val="32"/>
        </w:rPr>
        <w:t>疫苗安全事件应急指挥体系由</w:t>
      </w:r>
      <w:r>
        <w:rPr>
          <w:rFonts w:hint="eastAsia" w:ascii="仿宋_GB2312" w:hAnsi="仿宋_GB2312" w:eastAsia="仿宋_GB2312" w:cs="仿宋_GB2312"/>
          <w:b w:val="0"/>
          <w:bCs/>
          <w:kern w:val="2"/>
          <w:sz w:val="32"/>
          <w:szCs w:val="32"/>
          <w:lang w:eastAsia="zh-CN"/>
        </w:rPr>
        <w:t>区</w:t>
      </w:r>
      <w:r>
        <w:rPr>
          <w:rFonts w:hint="eastAsia" w:ascii="仿宋_GB2312" w:hAnsi="仿宋_GB2312" w:eastAsia="仿宋_GB2312" w:cs="仿宋_GB2312"/>
          <w:b w:val="0"/>
          <w:bCs/>
          <w:kern w:val="2"/>
          <w:sz w:val="32"/>
          <w:szCs w:val="32"/>
        </w:rPr>
        <w:t>、</w:t>
      </w:r>
      <w:r>
        <w:rPr>
          <w:rFonts w:hint="eastAsia" w:ascii="仿宋_GB2312" w:hAnsi="仿宋_GB2312" w:eastAsia="仿宋_GB2312" w:cs="仿宋_GB2312"/>
          <w:b w:val="0"/>
          <w:bCs/>
          <w:kern w:val="2"/>
          <w:sz w:val="32"/>
          <w:szCs w:val="32"/>
          <w:lang w:eastAsia="zh-CN"/>
        </w:rPr>
        <w:t>乡镇（街道）</w:t>
      </w:r>
      <w:r>
        <w:rPr>
          <w:rFonts w:hint="eastAsia" w:ascii="仿宋_GB2312" w:hAnsi="仿宋_GB2312" w:eastAsia="仿宋_GB2312" w:cs="仿宋_GB2312"/>
          <w:b w:val="0"/>
          <w:bCs/>
          <w:kern w:val="2"/>
          <w:sz w:val="32"/>
          <w:szCs w:val="32"/>
        </w:rPr>
        <w:t>各级应急指挥部及其</w:t>
      </w:r>
      <w:r>
        <w:rPr>
          <w:rFonts w:hint="eastAsia" w:ascii="仿宋_GB2312" w:hAnsi="仿宋_GB2312" w:eastAsia="仿宋_GB2312" w:cs="仿宋_GB2312"/>
          <w:b w:val="0"/>
          <w:bCs/>
          <w:kern w:val="2"/>
          <w:sz w:val="32"/>
          <w:szCs w:val="32"/>
          <w:lang w:eastAsia="zh-CN"/>
        </w:rPr>
        <w:t>办公室</w:t>
      </w:r>
      <w:r>
        <w:rPr>
          <w:rFonts w:hint="eastAsia" w:ascii="仿宋_GB2312" w:hAnsi="仿宋_GB2312" w:eastAsia="仿宋_GB2312" w:cs="仿宋_GB2312"/>
          <w:b w:val="0"/>
          <w:bCs/>
          <w:kern w:val="2"/>
          <w:sz w:val="32"/>
          <w:szCs w:val="32"/>
        </w:rPr>
        <w:t>组成，按照分级负责的原则，</w:t>
      </w:r>
      <w:r>
        <w:rPr>
          <w:rFonts w:hint="eastAsia" w:ascii="仿宋_GB2312" w:hAnsi="仿宋_GB2312" w:eastAsia="仿宋_GB2312" w:cs="仿宋_GB2312"/>
          <w:b w:val="0"/>
          <w:bCs/>
          <w:kern w:val="2"/>
          <w:sz w:val="32"/>
          <w:szCs w:val="32"/>
          <w:lang w:eastAsia="zh-CN"/>
        </w:rPr>
        <w:t>承担组织、协调和指导相应事件等级的疫苗安全应急处置工作。</w:t>
      </w:r>
    </w:p>
    <w:p>
      <w:pPr>
        <w:pStyle w:val="7"/>
        <w:keepNext w:val="0"/>
        <w:keepLines w:val="0"/>
        <w:pageBreakBefore w:val="0"/>
        <w:kinsoku/>
        <w:wordWrap/>
        <w:overflowPunct/>
        <w:topLinePunct w:val="0"/>
        <w:autoSpaceDE/>
        <w:autoSpaceDN/>
        <w:bidi w:val="0"/>
        <w:adjustRightInd/>
        <w:snapToGrid/>
        <w:spacing w:beforeAutospacing="0" w:afterAutospacing="0" w:line="576" w:lineRule="exact"/>
        <w:ind w:firstLine="640" w:firstLineChars="200"/>
        <w:jc w:val="both"/>
        <w:textAlignment w:val="auto"/>
        <w:rPr>
          <w:rFonts w:hint="eastAsia" w:ascii="仿宋_GB2312" w:hAnsi="仿宋_GB2312" w:eastAsia="仿宋_GB2312" w:cs="仿宋_GB2312"/>
          <w:b w:val="0"/>
          <w:bCs/>
          <w:kern w:val="2"/>
          <w:sz w:val="32"/>
          <w:szCs w:val="32"/>
        </w:rPr>
      </w:pPr>
      <w:r>
        <w:rPr>
          <w:rFonts w:hint="eastAsia" w:ascii="仿宋_GB2312" w:hAnsi="仿宋_GB2312" w:eastAsia="仿宋_GB2312" w:cs="仿宋_GB2312"/>
          <w:b w:val="0"/>
          <w:bCs/>
          <w:kern w:val="2"/>
          <w:sz w:val="32"/>
          <w:szCs w:val="32"/>
          <w:lang w:eastAsia="zh-CN"/>
        </w:rPr>
        <w:t>区</w:t>
      </w:r>
      <w:r>
        <w:rPr>
          <w:rFonts w:hint="eastAsia" w:ascii="仿宋_GB2312" w:hAnsi="仿宋_GB2312" w:eastAsia="仿宋_GB2312" w:cs="仿宋_GB2312"/>
          <w:b w:val="0"/>
          <w:bCs/>
          <w:kern w:val="2"/>
          <w:sz w:val="32"/>
          <w:szCs w:val="32"/>
        </w:rPr>
        <w:t>级</w:t>
      </w:r>
      <w:r>
        <w:rPr>
          <w:rFonts w:hint="eastAsia" w:ascii="仿宋_GB2312" w:hAnsi="仿宋_GB2312" w:eastAsia="仿宋_GB2312" w:cs="仿宋_GB2312"/>
          <w:b w:val="0"/>
          <w:bCs/>
          <w:kern w:val="2"/>
          <w:sz w:val="32"/>
          <w:szCs w:val="32"/>
          <w:lang w:eastAsia="zh-CN"/>
        </w:rPr>
        <w:t>疫苗安全事件</w:t>
      </w:r>
      <w:r>
        <w:rPr>
          <w:rFonts w:hint="eastAsia" w:ascii="仿宋_GB2312" w:hAnsi="仿宋_GB2312" w:eastAsia="仿宋_GB2312" w:cs="仿宋_GB2312"/>
          <w:b w:val="0"/>
          <w:bCs/>
          <w:kern w:val="2"/>
          <w:sz w:val="32"/>
          <w:szCs w:val="32"/>
        </w:rPr>
        <w:t>应急指挥部</w:t>
      </w:r>
      <w:r>
        <w:rPr>
          <w:rFonts w:hint="eastAsia" w:ascii="仿宋_GB2312" w:hAnsi="仿宋_GB2312" w:eastAsia="仿宋_GB2312" w:cs="仿宋_GB2312"/>
          <w:b w:val="0"/>
          <w:bCs/>
          <w:kern w:val="2"/>
          <w:sz w:val="32"/>
          <w:szCs w:val="32"/>
          <w:lang w:eastAsia="zh-CN"/>
        </w:rPr>
        <w:t>（以下简称区应急指挥部）</w:t>
      </w:r>
      <w:r>
        <w:rPr>
          <w:rFonts w:hint="eastAsia" w:ascii="仿宋_GB2312" w:hAnsi="仿宋_GB2312" w:eastAsia="仿宋_GB2312" w:cs="仿宋_GB2312"/>
          <w:b w:val="0"/>
          <w:bCs/>
          <w:kern w:val="2"/>
          <w:sz w:val="32"/>
          <w:szCs w:val="32"/>
        </w:rPr>
        <w:t>负责应对本行政区域疫苗安全事件</w:t>
      </w:r>
      <w:r>
        <w:rPr>
          <w:rFonts w:hint="eastAsia" w:ascii="仿宋_GB2312" w:hAnsi="仿宋_GB2312" w:eastAsia="仿宋_GB2312" w:cs="仿宋_GB2312"/>
          <w:b w:val="0"/>
          <w:bCs/>
          <w:kern w:val="2"/>
          <w:sz w:val="32"/>
          <w:szCs w:val="32"/>
          <w:lang w:eastAsia="zh-CN"/>
        </w:rPr>
        <w:t>，并按照上级有关部署要求做好疫苗安全事件先期处置应对</w:t>
      </w:r>
      <w:r>
        <w:rPr>
          <w:rFonts w:hint="eastAsia" w:ascii="仿宋_GB2312" w:hAnsi="仿宋_GB2312" w:eastAsia="仿宋_GB2312" w:cs="仿宋_GB2312"/>
          <w:b w:val="0"/>
          <w:bCs/>
          <w:kern w:val="2"/>
          <w:sz w:val="32"/>
          <w:szCs w:val="32"/>
        </w:rPr>
        <w:t>；各</w:t>
      </w:r>
      <w:r>
        <w:rPr>
          <w:rFonts w:hint="eastAsia" w:ascii="仿宋_GB2312" w:hAnsi="仿宋_GB2312" w:eastAsia="仿宋_GB2312" w:cs="仿宋_GB2312"/>
          <w:b w:val="0"/>
          <w:bCs/>
          <w:kern w:val="2"/>
          <w:sz w:val="32"/>
          <w:szCs w:val="32"/>
          <w:lang w:eastAsia="zh-CN"/>
        </w:rPr>
        <w:t>乡镇（街道）</w:t>
      </w:r>
      <w:r>
        <w:rPr>
          <w:rFonts w:hint="eastAsia" w:ascii="仿宋_GB2312" w:hAnsi="仿宋_GB2312" w:eastAsia="仿宋_GB2312" w:cs="仿宋_GB2312"/>
          <w:b w:val="0"/>
          <w:bCs/>
          <w:kern w:val="2"/>
          <w:sz w:val="32"/>
          <w:szCs w:val="32"/>
        </w:rPr>
        <w:t>应急指挥部负责本行政区域疫苗安全事件</w:t>
      </w:r>
      <w:r>
        <w:rPr>
          <w:rFonts w:hint="eastAsia" w:ascii="仿宋_GB2312" w:hAnsi="仿宋_GB2312" w:eastAsia="仿宋_GB2312" w:cs="仿宋_GB2312"/>
          <w:b w:val="0"/>
          <w:bCs/>
          <w:kern w:val="2"/>
          <w:sz w:val="32"/>
          <w:szCs w:val="32"/>
          <w:lang w:eastAsia="zh-CN"/>
        </w:rPr>
        <w:t>，并按照上级有关部署要求做好疫苗安全事件先期处置应对</w:t>
      </w:r>
      <w:r>
        <w:rPr>
          <w:rFonts w:hint="eastAsia" w:ascii="仿宋_GB2312" w:hAnsi="仿宋_GB2312" w:eastAsia="仿宋_GB2312" w:cs="仿宋_GB2312"/>
          <w:b w:val="0"/>
          <w:bCs/>
          <w:kern w:val="2"/>
          <w:sz w:val="32"/>
          <w:szCs w:val="32"/>
        </w:rPr>
        <w:t>。</w:t>
      </w:r>
    </w:p>
    <w:p>
      <w:pPr>
        <w:pStyle w:val="7"/>
        <w:keepNext w:val="0"/>
        <w:keepLines w:val="0"/>
        <w:pageBreakBefore w:val="0"/>
        <w:kinsoku/>
        <w:wordWrap/>
        <w:overflowPunct/>
        <w:topLinePunct w:val="0"/>
        <w:autoSpaceDE/>
        <w:autoSpaceDN/>
        <w:bidi w:val="0"/>
        <w:adjustRightInd/>
        <w:snapToGrid/>
        <w:spacing w:beforeAutospacing="0" w:afterAutospacing="0" w:line="576"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val="0"/>
          <w:bCs/>
          <w:kern w:val="2"/>
          <w:sz w:val="32"/>
          <w:szCs w:val="32"/>
        </w:rPr>
        <w:t>2.1.1</w:t>
      </w:r>
      <w:r>
        <w:rPr>
          <w:rFonts w:hint="eastAsia" w:ascii="仿宋_GB2312" w:hAnsi="仿宋_GB2312" w:eastAsia="仿宋_GB2312" w:cs="仿宋_GB2312"/>
          <w:kern w:val="2"/>
          <w:sz w:val="32"/>
          <w:szCs w:val="32"/>
          <w:lang w:val="en-US" w:eastAsia="zh-CN" w:bidi="ar-SA"/>
        </w:rPr>
        <w:t>区疫苗安全事件应急指挥部</w:t>
      </w:r>
    </w:p>
    <w:p>
      <w:pPr>
        <w:pStyle w:val="7"/>
        <w:keepNext w:val="0"/>
        <w:keepLines w:val="0"/>
        <w:pageBreakBefore w:val="0"/>
        <w:kinsoku/>
        <w:wordWrap/>
        <w:overflowPunct/>
        <w:topLinePunct w:val="0"/>
        <w:autoSpaceDE/>
        <w:autoSpaceDN/>
        <w:bidi w:val="0"/>
        <w:adjustRightInd/>
        <w:snapToGrid/>
        <w:spacing w:beforeAutospacing="0" w:afterAutospacing="0" w:line="576" w:lineRule="exact"/>
        <w:ind w:firstLine="640" w:firstLineChars="200"/>
        <w:jc w:val="both"/>
        <w:textAlignment w:val="auto"/>
        <w:rPr>
          <w:rFonts w:hint="eastAsia" w:ascii="仿宋_GB2312" w:hAnsi="仿宋_GB2312" w:eastAsia="仿宋_GB2312" w:cs="仿宋_GB2312"/>
          <w:b w:val="0"/>
          <w:bCs/>
          <w:kern w:val="2"/>
          <w:sz w:val="32"/>
          <w:szCs w:val="32"/>
          <w:lang w:eastAsia="zh-CN"/>
        </w:rPr>
      </w:pPr>
      <w:r>
        <w:rPr>
          <w:rFonts w:hint="eastAsia" w:ascii="仿宋_GB2312" w:hAnsi="仿宋_GB2312" w:eastAsia="仿宋_GB2312" w:cs="仿宋_GB2312"/>
          <w:b w:val="0"/>
          <w:bCs/>
          <w:kern w:val="2"/>
          <w:sz w:val="32"/>
          <w:szCs w:val="32"/>
          <w:lang w:eastAsia="zh-CN"/>
        </w:rPr>
        <w:t>区应急指挥部由开发区管委会分管领导担任指挥长，协助分管领导工作的管委办公室有关负责同志、区市场监督管理部、卫健管理办公室主要负责同志担任副</w:t>
      </w:r>
      <w:r>
        <w:rPr>
          <w:rFonts w:hint="eastAsia" w:ascii="仿宋_GB2312" w:hAnsi="仿宋_GB2312" w:eastAsia="仿宋_GB2312" w:cs="仿宋_GB2312"/>
          <w:b w:val="0"/>
          <w:bCs/>
          <w:kern w:val="2"/>
          <w:sz w:val="32"/>
          <w:szCs w:val="32"/>
        </w:rPr>
        <w:t>指挥长</w:t>
      </w:r>
      <w:r>
        <w:rPr>
          <w:rFonts w:hint="eastAsia" w:ascii="仿宋_GB2312" w:hAnsi="仿宋_GB2312" w:eastAsia="仿宋_GB2312" w:cs="仿宋_GB2312"/>
          <w:b w:val="0"/>
          <w:bCs/>
          <w:kern w:val="2"/>
          <w:sz w:val="32"/>
          <w:szCs w:val="32"/>
          <w:lang w:eastAsia="zh-CN"/>
        </w:rPr>
        <w:t>，根据实际需要，区有关部门（单位）负责同志担任成员，负责领导、指挥和协调区内疫苗安全事件的应急处置工作。区应急指挥部下设办公室，办公室设在区市场监督管理部，各成员单位根据应急响应级别，按照区应急指挥部的统一部署，做好疫苗安全事件应急处置工作。</w:t>
      </w:r>
    </w:p>
    <w:p>
      <w:pPr>
        <w:pStyle w:val="7"/>
        <w:keepNext w:val="0"/>
        <w:keepLines w:val="0"/>
        <w:pageBreakBefore w:val="0"/>
        <w:kinsoku/>
        <w:wordWrap/>
        <w:overflowPunct/>
        <w:topLinePunct w:val="0"/>
        <w:autoSpaceDE/>
        <w:autoSpaceDN/>
        <w:bidi w:val="0"/>
        <w:adjustRightInd/>
        <w:snapToGrid/>
        <w:spacing w:beforeAutospacing="0" w:afterAutospacing="0" w:line="576"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val="0"/>
          <w:bCs/>
          <w:kern w:val="2"/>
          <w:sz w:val="32"/>
          <w:szCs w:val="32"/>
        </w:rPr>
        <w:t>2.1.2</w:t>
      </w:r>
      <w:r>
        <w:rPr>
          <w:rFonts w:hint="eastAsia" w:ascii="仿宋_GB2312" w:hAnsi="仿宋_GB2312" w:eastAsia="仿宋_GB2312" w:cs="仿宋_GB2312"/>
          <w:kern w:val="2"/>
          <w:sz w:val="32"/>
          <w:szCs w:val="32"/>
          <w:lang w:val="en-US" w:eastAsia="zh-CN" w:bidi="ar-SA"/>
        </w:rPr>
        <w:t>区应急指挥部办公室职责</w:t>
      </w:r>
    </w:p>
    <w:p>
      <w:pPr>
        <w:pStyle w:val="7"/>
        <w:keepNext w:val="0"/>
        <w:keepLines w:val="0"/>
        <w:pageBreakBefore w:val="0"/>
        <w:kinsoku/>
        <w:wordWrap/>
        <w:overflowPunct/>
        <w:topLinePunct w:val="0"/>
        <w:autoSpaceDE/>
        <w:autoSpaceDN/>
        <w:bidi w:val="0"/>
        <w:adjustRightInd/>
        <w:snapToGrid/>
        <w:spacing w:beforeAutospacing="0" w:afterAutospacing="0" w:line="576" w:lineRule="exact"/>
        <w:ind w:firstLine="640" w:firstLineChars="200"/>
        <w:jc w:val="both"/>
        <w:textAlignment w:val="auto"/>
        <w:rPr>
          <w:rFonts w:hint="eastAsia" w:ascii="仿宋_GB2312" w:hAnsi="仿宋_GB2312" w:eastAsia="仿宋_GB2312" w:cs="仿宋_GB2312"/>
          <w:b w:val="0"/>
          <w:bCs/>
          <w:kern w:val="2"/>
          <w:sz w:val="32"/>
          <w:szCs w:val="32"/>
          <w:lang w:eastAsia="zh-CN"/>
        </w:rPr>
      </w:pPr>
      <w:r>
        <w:rPr>
          <w:rFonts w:hint="eastAsia" w:ascii="仿宋_GB2312" w:hAnsi="仿宋_GB2312" w:eastAsia="仿宋_GB2312" w:cs="仿宋_GB2312"/>
          <w:b w:val="0"/>
          <w:bCs/>
          <w:kern w:val="2"/>
          <w:sz w:val="32"/>
          <w:szCs w:val="32"/>
          <w:lang w:eastAsia="zh-CN"/>
        </w:rPr>
        <w:t>（</w:t>
      </w:r>
      <w:r>
        <w:rPr>
          <w:rFonts w:hint="eastAsia" w:ascii="仿宋_GB2312" w:hAnsi="仿宋_GB2312" w:eastAsia="仿宋_GB2312" w:cs="仿宋_GB2312"/>
          <w:b w:val="0"/>
          <w:bCs/>
          <w:kern w:val="2"/>
          <w:sz w:val="32"/>
          <w:szCs w:val="32"/>
          <w:lang w:val="en-US" w:eastAsia="zh-CN"/>
        </w:rPr>
        <w:t>1</w:t>
      </w:r>
      <w:r>
        <w:rPr>
          <w:rFonts w:hint="eastAsia" w:ascii="仿宋_GB2312" w:hAnsi="仿宋_GB2312" w:eastAsia="仿宋_GB2312" w:cs="仿宋_GB2312"/>
          <w:b w:val="0"/>
          <w:bCs/>
          <w:kern w:val="2"/>
          <w:sz w:val="32"/>
          <w:szCs w:val="32"/>
          <w:lang w:eastAsia="zh-CN"/>
        </w:rPr>
        <w:t>）负责贯彻落实区应急指挥部的各项部署，组织实施应急处置工作。</w:t>
      </w:r>
    </w:p>
    <w:p>
      <w:pPr>
        <w:pStyle w:val="7"/>
        <w:keepNext w:val="0"/>
        <w:keepLines w:val="0"/>
        <w:pageBreakBefore w:val="0"/>
        <w:kinsoku/>
        <w:wordWrap/>
        <w:overflowPunct/>
        <w:topLinePunct w:val="0"/>
        <w:autoSpaceDE/>
        <w:autoSpaceDN/>
        <w:bidi w:val="0"/>
        <w:adjustRightInd/>
        <w:snapToGrid/>
        <w:spacing w:beforeAutospacing="0" w:afterAutospacing="0" w:line="576" w:lineRule="exact"/>
        <w:ind w:firstLine="640" w:firstLineChars="200"/>
        <w:jc w:val="both"/>
        <w:textAlignment w:val="auto"/>
        <w:rPr>
          <w:rFonts w:hint="eastAsia" w:ascii="仿宋_GB2312" w:hAnsi="仿宋_GB2312" w:eastAsia="仿宋_GB2312" w:cs="仿宋_GB2312"/>
          <w:b w:val="0"/>
          <w:bCs/>
          <w:kern w:val="2"/>
          <w:sz w:val="32"/>
          <w:szCs w:val="32"/>
          <w:lang w:eastAsia="zh-CN"/>
        </w:rPr>
      </w:pPr>
      <w:r>
        <w:rPr>
          <w:rFonts w:hint="eastAsia" w:ascii="仿宋_GB2312" w:hAnsi="仿宋_GB2312" w:eastAsia="仿宋_GB2312" w:cs="仿宋_GB2312"/>
          <w:b w:val="0"/>
          <w:bCs/>
          <w:kern w:val="2"/>
          <w:sz w:val="32"/>
          <w:szCs w:val="32"/>
          <w:lang w:eastAsia="zh-CN"/>
        </w:rPr>
        <w:t>（</w:t>
      </w:r>
      <w:r>
        <w:rPr>
          <w:rFonts w:hint="eastAsia" w:ascii="仿宋_GB2312" w:hAnsi="仿宋_GB2312" w:eastAsia="仿宋_GB2312" w:cs="仿宋_GB2312"/>
          <w:b w:val="0"/>
          <w:bCs/>
          <w:kern w:val="2"/>
          <w:sz w:val="32"/>
          <w:szCs w:val="32"/>
          <w:lang w:val="en-US" w:eastAsia="zh-CN"/>
        </w:rPr>
        <w:t>2</w:t>
      </w:r>
      <w:r>
        <w:rPr>
          <w:rFonts w:hint="eastAsia" w:ascii="仿宋_GB2312" w:hAnsi="仿宋_GB2312" w:eastAsia="仿宋_GB2312" w:cs="仿宋_GB2312"/>
          <w:b w:val="0"/>
          <w:bCs/>
          <w:kern w:val="2"/>
          <w:sz w:val="32"/>
          <w:szCs w:val="32"/>
          <w:lang w:eastAsia="zh-CN"/>
        </w:rPr>
        <w:t>）组织协调全区疫苗安全事件的预防、预警和应急处置工作。检查督促相关乡镇（街道）和部门做好应急处置工作。</w:t>
      </w:r>
    </w:p>
    <w:p>
      <w:pPr>
        <w:pStyle w:val="7"/>
        <w:keepNext w:val="0"/>
        <w:keepLines w:val="0"/>
        <w:pageBreakBefore w:val="0"/>
        <w:kinsoku/>
        <w:wordWrap/>
        <w:overflowPunct/>
        <w:topLinePunct w:val="0"/>
        <w:autoSpaceDE/>
        <w:autoSpaceDN/>
        <w:bidi w:val="0"/>
        <w:adjustRightInd/>
        <w:snapToGrid/>
        <w:spacing w:beforeAutospacing="0" w:afterAutospacing="0" w:line="576" w:lineRule="exact"/>
        <w:ind w:firstLine="640" w:firstLineChars="200"/>
        <w:jc w:val="both"/>
        <w:textAlignment w:val="auto"/>
        <w:rPr>
          <w:rFonts w:hint="eastAsia" w:ascii="仿宋_GB2312" w:hAnsi="仿宋_GB2312" w:eastAsia="仿宋_GB2312" w:cs="仿宋_GB2312"/>
          <w:b w:val="0"/>
          <w:bCs/>
          <w:kern w:val="2"/>
          <w:sz w:val="32"/>
          <w:szCs w:val="32"/>
          <w:lang w:eastAsia="zh-CN"/>
        </w:rPr>
      </w:pPr>
      <w:r>
        <w:rPr>
          <w:rFonts w:hint="eastAsia" w:ascii="仿宋_GB2312" w:hAnsi="仿宋_GB2312" w:eastAsia="仿宋_GB2312" w:cs="仿宋_GB2312"/>
          <w:b w:val="0"/>
          <w:bCs/>
          <w:kern w:val="2"/>
          <w:sz w:val="32"/>
          <w:szCs w:val="32"/>
          <w:lang w:eastAsia="zh-CN"/>
        </w:rPr>
        <w:t>（</w:t>
      </w:r>
      <w:r>
        <w:rPr>
          <w:rFonts w:hint="eastAsia" w:ascii="仿宋_GB2312" w:hAnsi="仿宋_GB2312" w:eastAsia="仿宋_GB2312" w:cs="仿宋_GB2312"/>
          <w:b w:val="0"/>
          <w:bCs/>
          <w:kern w:val="2"/>
          <w:sz w:val="32"/>
          <w:szCs w:val="32"/>
          <w:lang w:val="en-US" w:eastAsia="zh-CN"/>
        </w:rPr>
        <w:t>3</w:t>
      </w:r>
      <w:r>
        <w:rPr>
          <w:rFonts w:hint="eastAsia" w:ascii="仿宋_GB2312" w:hAnsi="仿宋_GB2312" w:eastAsia="仿宋_GB2312" w:cs="仿宋_GB2312"/>
          <w:b w:val="0"/>
          <w:bCs/>
          <w:kern w:val="2"/>
          <w:sz w:val="32"/>
          <w:szCs w:val="32"/>
          <w:lang w:eastAsia="zh-CN"/>
        </w:rPr>
        <w:t>）收集汇总分析各相关部门疫苗安全事件应急处置信息，向区应急指挥部及时报告有关情况，与区有关部门交流信息。</w:t>
      </w:r>
    </w:p>
    <w:p>
      <w:pPr>
        <w:pStyle w:val="7"/>
        <w:keepNext w:val="0"/>
        <w:keepLines w:val="0"/>
        <w:pageBreakBefore w:val="0"/>
        <w:kinsoku/>
        <w:wordWrap/>
        <w:overflowPunct/>
        <w:topLinePunct w:val="0"/>
        <w:autoSpaceDE/>
        <w:autoSpaceDN/>
        <w:bidi w:val="0"/>
        <w:adjustRightInd/>
        <w:snapToGrid/>
        <w:spacing w:beforeAutospacing="0" w:afterAutospacing="0" w:line="576" w:lineRule="exact"/>
        <w:ind w:firstLine="640" w:firstLineChars="200"/>
        <w:jc w:val="both"/>
        <w:textAlignment w:val="auto"/>
        <w:rPr>
          <w:rFonts w:hint="eastAsia" w:ascii="仿宋_GB2312" w:hAnsi="仿宋_GB2312" w:eastAsia="仿宋_GB2312" w:cs="仿宋_GB2312"/>
          <w:b w:val="0"/>
          <w:bCs/>
          <w:kern w:val="2"/>
          <w:sz w:val="32"/>
          <w:szCs w:val="32"/>
          <w:lang w:eastAsia="zh-CN"/>
        </w:rPr>
      </w:pPr>
      <w:r>
        <w:rPr>
          <w:rFonts w:hint="eastAsia" w:ascii="仿宋_GB2312" w:hAnsi="仿宋_GB2312" w:eastAsia="仿宋_GB2312" w:cs="仿宋_GB2312"/>
          <w:b w:val="0"/>
          <w:bCs/>
          <w:kern w:val="2"/>
          <w:sz w:val="32"/>
          <w:szCs w:val="32"/>
          <w:lang w:eastAsia="zh-CN"/>
        </w:rPr>
        <w:t>（</w:t>
      </w:r>
      <w:r>
        <w:rPr>
          <w:rFonts w:hint="eastAsia" w:ascii="仿宋_GB2312" w:hAnsi="仿宋_GB2312" w:eastAsia="仿宋_GB2312" w:cs="仿宋_GB2312"/>
          <w:b w:val="0"/>
          <w:bCs/>
          <w:kern w:val="2"/>
          <w:sz w:val="32"/>
          <w:szCs w:val="32"/>
          <w:lang w:val="en-US" w:eastAsia="zh-CN"/>
        </w:rPr>
        <w:t>4</w:t>
      </w:r>
      <w:r>
        <w:rPr>
          <w:rFonts w:hint="eastAsia" w:ascii="仿宋_GB2312" w:hAnsi="仿宋_GB2312" w:eastAsia="仿宋_GB2312" w:cs="仿宋_GB2312"/>
          <w:b w:val="0"/>
          <w:bCs/>
          <w:kern w:val="2"/>
          <w:sz w:val="32"/>
          <w:szCs w:val="32"/>
          <w:lang w:eastAsia="zh-CN"/>
        </w:rPr>
        <w:t>）建立会商、发文、信息发布和督查等制度，协调宣传报道、信息发布、舆情处置和应急演练等工作。根据需要组建和管理疫情安全事件应急处置专家组。</w:t>
      </w:r>
    </w:p>
    <w:p>
      <w:pPr>
        <w:pStyle w:val="7"/>
        <w:keepNext w:val="0"/>
        <w:keepLines w:val="0"/>
        <w:pageBreakBefore w:val="0"/>
        <w:kinsoku/>
        <w:wordWrap/>
        <w:overflowPunct/>
        <w:topLinePunct w:val="0"/>
        <w:autoSpaceDE/>
        <w:autoSpaceDN/>
        <w:bidi w:val="0"/>
        <w:adjustRightInd/>
        <w:snapToGrid/>
        <w:spacing w:beforeAutospacing="0" w:afterAutospacing="0" w:line="576" w:lineRule="exact"/>
        <w:ind w:firstLine="640" w:firstLineChars="200"/>
        <w:jc w:val="both"/>
        <w:textAlignment w:val="auto"/>
        <w:rPr>
          <w:rFonts w:hint="eastAsia" w:ascii="仿宋_GB2312" w:hAnsi="仿宋_GB2312" w:eastAsia="仿宋_GB2312" w:cs="仿宋_GB2312"/>
          <w:b w:val="0"/>
          <w:bCs/>
          <w:kern w:val="2"/>
          <w:sz w:val="32"/>
          <w:szCs w:val="32"/>
          <w:lang w:eastAsia="zh-CN"/>
        </w:rPr>
      </w:pPr>
      <w:r>
        <w:rPr>
          <w:rFonts w:hint="eastAsia" w:ascii="仿宋_GB2312" w:hAnsi="仿宋_GB2312" w:eastAsia="仿宋_GB2312" w:cs="仿宋_GB2312"/>
          <w:b w:val="0"/>
          <w:bCs/>
          <w:kern w:val="2"/>
          <w:sz w:val="32"/>
          <w:szCs w:val="32"/>
          <w:lang w:eastAsia="zh-CN"/>
        </w:rPr>
        <w:t>（</w:t>
      </w:r>
      <w:r>
        <w:rPr>
          <w:rFonts w:hint="eastAsia" w:ascii="仿宋_GB2312" w:hAnsi="仿宋_GB2312" w:eastAsia="仿宋_GB2312" w:cs="仿宋_GB2312"/>
          <w:b w:val="0"/>
          <w:bCs/>
          <w:kern w:val="2"/>
          <w:sz w:val="32"/>
          <w:szCs w:val="32"/>
          <w:lang w:val="en-US" w:eastAsia="zh-CN"/>
        </w:rPr>
        <w:t>5</w:t>
      </w:r>
      <w:r>
        <w:rPr>
          <w:rFonts w:hint="eastAsia" w:ascii="仿宋_GB2312" w:hAnsi="仿宋_GB2312" w:eastAsia="仿宋_GB2312" w:cs="仿宋_GB2312"/>
          <w:b w:val="0"/>
          <w:bCs/>
          <w:kern w:val="2"/>
          <w:sz w:val="32"/>
          <w:szCs w:val="32"/>
          <w:lang w:eastAsia="zh-CN"/>
        </w:rPr>
        <w:t>）组织协调人员培训、物资储备、后勤保障、社会动员等相关工作。</w:t>
      </w:r>
    </w:p>
    <w:p>
      <w:pPr>
        <w:pStyle w:val="7"/>
        <w:keepNext w:val="0"/>
        <w:keepLines w:val="0"/>
        <w:pageBreakBefore w:val="0"/>
        <w:kinsoku/>
        <w:wordWrap/>
        <w:overflowPunct/>
        <w:topLinePunct w:val="0"/>
        <w:autoSpaceDE/>
        <w:autoSpaceDN/>
        <w:bidi w:val="0"/>
        <w:adjustRightInd/>
        <w:snapToGrid/>
        <w:spacing w:beforeAutospacing="0" w:afterAutospacing="0" w:line="576" w:lineRule="exact"/>
        <w:ind w:firstLine="640" w:firstLineChars="200"/>
        <w:jc w:val="both"/>
        <w:textAlignment w:val="auto"/>
        <w:rPr>
          <w:rFonts w:hint="eastAsia" w:ascii="仿宋_GB2312" w:hAnsi="仿宋_GB2312" w:eastAsia="仿宋_GB2312" w:cs="仿宋_GB2312"/>
          <w:b w:val="0"/>
          <w:bCs/>
          <w:kern w:val="2"/>
          <w:sz w:val="32"/>
          <w:szCs w:val="32"/>
          <w:lang w:val="en-US" w:eastAsia="zh-CN"/>
        </w:rPr>
      </w:pPr>
      <w:r>
        <w:rPr>
          <w:rFonts w:hint="eastAsia" w:ascii="仿宋_GB2312" w:hAnsi="仿宋_GB2312" w:eastAsia="仿宋_GB2312" w:cs="仿宋_GB2312"/>
          <w:b w:val="0"/>
          <w:bCs/>
          <w:kern w:val="2"/>
          <w:sz w:val="32"/>
          <w:szCs w:val="32"/>
          <w:lang w:val="en-US" w:eastAsia="zh-CN"/>
        </w:rPr>
        <w:t>（6）完成区应急指挥部交办的其他任务。</w:t>
      </w:r>
    </w:p>
    <w:p>
      <w:pPr>
        <w:pStyle w:val="7"/>
        <w:keepNext w:val="0"/>
        <w:keepLines w:val="0"/>
        <w:pageBreakBefore w:val="0"/>
        <w:kinsoku/>
        <w:wordWrap/>
        <w:overflowPunct/>
        <w:topLinePunct w:val="0"/>
        <w:autoSpaceDE/>
        <w:autoSpaceDN/>
        <w:bidi w:val="0"/>
        <w:adjustRightInd/>
        <w:snapToGrid/>
        <w:spacing w:beforeAutospacing="0" w:afterAutospacing="0" w:line="576"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val="0"/>
          <w:bCs/>
          <w:kern w:val="2"/>
          <w:sz w:val="32"/>
          <w:szCs w:val="32"/>
          <w:lang w:val="en-US" w:eastAsia="zh-CN"/>
        </w:rPr>
        <w:t>2.1.3</w:t>
      </w:r>
      <w:r>
        <w:rPr>
          <w:rFonts w:hint="eastAsia" w:ascii="仿宋_GB2312" w:hAnsi="仿宋_GB2312" w:eastAsia="仿宋_GB2312" w:cs="仿宋_GB2312"/>
          <w:kern w:val="2"/>
          <w:sz w:val="32"/>
          <w:szCs w:val="32"/>
          <w:lang w:val="en-US" w:eastAsia="zh-CN" w:bidi="ar-SA"/>
        </w:rPr>
        <w:t>区应急指挥部工作组职责和组成</w:t>
      </w:r>
    </w:p>
    <w:p>
      <w:pPr>
        <w:pStyle w:val="7"/>
        <w:keepNext w:val="0"/>
        <w:keepLines w:val="0"/>
        <w:pageBreakBefore w:val="0"/>
        <w:kinsoku/>
        <w:wordWrap/>
        <w:overflowPunct/>
        <w:topLinePunct w:val="0"/>
        <w:autoSpaceDE/>
        <w:autoSpaceDN/>
        <w:bidi w:val="0"/>
        <w:adjustRightInd/>
        <w:snapToGrid/>
        <w:spacing w:beforeAutospacing="0" w:afterAutospacing="0" w:line="576" w:lineRule="exact"/>
        <w:ind w:firstLine="640" w:firstLineChars="200"/>
        <w:jc w:val="both"/>
        <w:textAlignment w:val="auto"/>
        <w:rPr>
          <w:rFonts w:hint="eastAsia" w:ascii="仿宋_GB2312" w:hAnsi="仿宋_GB2312" w:eastAsia="仿宋_GB2312" w:cs="仿宋_GB2312"/>
          <w:b w:val="0"/>
          <w:bCs/>
          <w:kern w:val="2"/>
          <w:sz w:val="32"/>
          <w:szCs w:val="32"/>
          <w:lang w:val="en-US" w:eastAsia="zh-CN"/>
        </w:rPr>
      </w:pPr>
      <w:r>
        <w:rPr>
          <w:rFonts w:hint="eastAsia" w:ascii="仿宋_GB2312" w:hAnsi="仿宋_GB2312" w:eastAsia="仿宋_GB2312" w:cs="仿宋_GB2312"/>
          <w:b w:val="0"/>
          <w:bCs/>
          <w:kern w:val="2"/>
          <w:sz w:val="32"/>
          <w:szCs w:val="32"/>
          <w:lang w:val="en-US" w:eastAsia="zh-CN"/>
        </w:rPr>
        <w:t>区应急指挥部可根据应急处置需要设立综合协调组、事件调查组、危害控制组、医疗救治组、应急保障组、社会稳定组、新闻宣传组和专家研判组等，并视情况调整其设置及人员组成。区应急指挥部工作组职责和组成如下：</w:t>
      </w:r>
    </w:p>
    <w:p>
      <w:pPr>
        <w:pStyle w:val="7"/>
        <w:keepNext w:val="0"/>
        <w:keepLines w:val="0"/>
        <w:pageBreakBefore w:val="0"/>
        <w:kinsoku/>
        <w:wordWrap/>
        <w:overflowPunct/>
        <w:topLinePunct w:val="0"/>
        <w:autoSpaceDE/>
        <w:autoSpaceDN/>
        <w:bidi w:val="0"/>
        <w:adjustRightInd/>
        <w:snapToGrid/>
        <w:spacing w:beforeAutospacing="0" w:afterAutospacing="0" w:line="576" w:lineRule="exact"/>
        <w:ind w:firstLine="640" w:firstLineChars="200"/>
        <w:jc w:val="both"/>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kern w:val="2"/>
          <w:sz w:val="32"/>
          <w:szCs w:val="32"/>
          <w:lang w:val="en-US" w:eastAsia="zh-CN"/>
        </w:rPr>
        <w:t>2.1.3.1</w:t>
      </w:r>
      <w:r>
        <w:rPr>
          <w:rFonts w:hint="eastAsia" w:ascii="仿宋_GB2312" w:hAnsi="仿宋_GB2312" w:eastAsia="仿宋_GB2312" w:cs="仿宋_GB2312"/>
          <w:kern w:val="2"/>
          <w:sz w:val="32"/>
          <w:szCs w:val="32"/>
          <w:lang w:val="en-US" w:eastAsia="zh-CN" w:bidi="ar-SA"/>
        </w:rPr>
        <w:t>综合协调组：</w:t>
      </w:r>
      <w:r>
        <w:rPr>
          <w:rFonts w:hint="eastAsia" w:ascii="仿宋_GB2312" w:hAnsi="仿宋_GB2312" w:eastAsia="仿宋_GB2312" w:cs="仿宋_GB2312"/>
          <w:b w:val="0"/>
          <w:bCs/>
          <w:sz w:val="32"/>
          <w:szCs w:val="32"/>
        </w:rPr>
        <w:t>由</w:t>
      </w:r>
      <w:r>
        <w:rPr>
          <w:rFonts w:hint="eastAsia" w:ascii="仿宋_GB2312" w:hAnsi="仿宋_GB2312" w:eastAsia="仿宋_GB2312" w:cs="仿宋_GB2312"/>
          <w:b w:val="0"/>
          <w:bCs/>
          <w:sz w:val="32"/>
          <w:szCs w:val="32"/>
          <w:lang w:eastAsia="zh-CN"/>
        </w:rPr>
        <w:t>区</w:t>
      </w:r>
      <w:r>
        <w:rPr>
          <w:rFonts w:hint="eastAsia" w:ascii="仿宋_GB2312" w:hAnsi="仿宋_GB2312" w:eastAsia="仿宋_GB2312" w:cs="仿宋_GB2312"/>
          <w:b w:val="0"/>
          <w:bCs/>
          <w:sz w:val="32"/>
          <w:szCs w:val="32"/>
        </w:rPr>
        <w:t>市场</w:t>
      </w:r>
      <w:r>
        <w:rPr>
          <w:rFonts w:hint="eastAsia" w:ascii="仿宋_GB2312" w:hAnsi="仿宋_GB2312" w:eastAsia="仿宋_GB2312" w:cs="仿宋_GB2312"/>
          <w:b w:val="0"/>
          <w:bCs/>
          <w:sz w:val="32"/>
          <w:szCs w:val="32"/>
          <w:lang w:eastAsia="zh-CN"/>
        </w:rPr>
        <w:t>监督管理部</w:t>
      </w:r>
      <w:r>
        <w:rPr>
          <w:rFonts w:hint="eastAsia" w:ascii="仿宋_GB2312" w:hAnsi="仿宋_GB2312" w:eastAsia="仿宋_GB2312" w:cs="仿宋_GB2312"/>
          <w:b w:val="0"/>
          <w:bCs/>
          <w:sz w:val="32"/>
          <w:szCs w:val="32"/>
        </w:rPr>
        <w:t>牵头，</w:t>
      </w:r>
      <w:r>
        <w:rPr>
          <w:rFonts w:hint="eastAsia" w:ascii="仿宋_GB2312" w:hAnsi="仿宋_GB2312" w:eastAsia="仿宋_GB2312" w:cs="仿宋_GB2312"/>
          <w:b w:val="0"/>
          <w:bCs/>
          <w:sz w:val="32"/>
          <w:szCs w:val="32"/>
          <w:lang w:eastAsia="zh-CN"/>
        </w:rPr>
        <w:t>区宣传办、区商务和投资促进部、区经济发展部、区教体分局、区公安分局、区财政金融部、区党群工作部、区建设管理部、区</w:t>
      </w:r>
      <w:r>
        <w:rPr>
          <w:rFonts w:hint="eastAsia" w:ascii="仿宋_GB2312" w:hAnsi="仿宋_GB2312" w:eastAsia="仿宋_GB2312" w:cs="仿宋_GB2312"/>
          <w:b w:val="0"/>
          <w:bCs/>
          <w:sz w:val="32"/>
          <w:szCs w:val="32"/>
        </w:rPr>
        <w:t>卫健</w:t>
      </w:r>
      <w:r>
        <w:rPr>
          <w:rFonts w:hint="eastAsia" w:ascii="仿宋_GB2312" w:hAnsi="仿宋_GB2312" w:eastAsia="仿宋_GB2312" w:cs="仿宋_GB2312"/>
          <w:b w:val="0"/>
          <w:bCs/>
          <w:sz w:val="32"/>
          <w:szCs w:val="32"/>
          <w:lang w:eastAsia="zh-CN"/>
        </w:rPr>
        <w:t>管理办公室</w:t>
      </w:r>
      <w:r>
        <w:rPr>
          <w:rFonts w:hint="eastAsia" w:ascii="仿宋_GB2312" w:hAnsi="仿宋_GB2312" w:eastAsia="仿宋_GB2312" w:cs="仿宋_GB2312"/>
          <w:b w:val="0"/>
          <w:bCs/>
          <w:sz w:val="32"/>
          <w:szCs w:val="32"/>
        </w:rPr>
        <w:t>、</w:t>
      </w:r>
      <w:r>
        <w:rPr>
          <w:rFonts w:hint="eastAsia" w:ascii="仿宋_GB2312" w:hAnsi="仿宋_GB2312" w:eastAsia="仿宋_GB2312" w:cs="仿宋_GB2312"/>
          <w:b w:val="0"/>
          <w:bCs/>
          <w:sz w:val="32"/>
          <w:szCs w:val="32"/>
          <w:lang w:eastAsia="zh-CN"/>
        </w:rPr>
        <w:t>区应急管理处、区市场监督管理部、区管委会办公室等</w:t>
      </w:r>
      <w:r>
        <w:rPr>
          <w:rFonts w:hint="eastAsia" w:ascii="仿宋_GB2312" w:hAnsi="仿宋_GB2312" w:eastAsia="仿宋_GB2312" w:cs="仿宋_GB2312"/>
          <w:b w:val="0"/>
          <w:bCs/>
          <w:sz w:val="32"/>
          <w:szCs w:val="32"/>
        </w:rPr>
        <w:t>部门和事发地</w:t>
      </w:r>
      <w:r>
        <w:rPr>
          <w:rFonts w:hint="eastAsia" w:ascii="仿宋_GB2312" w:hAnsi="仿宋_GB2312" w:eastAsia="仿宋_GB2312" w:cs="仿宋_GB2312"/>
          <w:b w:val="0"/>
          <w:bCs/>
          <w:kern w:val="2"/>
          <w:sz w:val="32"/>
          <w:szCs w:val="32"/>
          <w:lang w:eastAsia="zh-CN"/>
        </w:rPr>
        <w:t>乡镇（街道）政府</w:t>
      </w:r>
      <w:r>
        <w:rPr>
          <w:rFonts w:hint="eastAsia" w:ascii="仿宋_GB2312" w:hAnsi="仿宋_GB2312" w:eastAsia="仿宋_GB2312" w:cs="仿宋_GB2312"/>
          <w:b w:val="0"/>
          <w:bCs/>
          <w:sz w:val="32"/>
          <w:szCs w:val="32"/>
        </w:rPr>
        <w:t>组成。</w:t>
      </w:r>
      <w:r>
        <w:rPr>
          <w:rFonts w:hint="eastAsia" w:ascii="仿宋_GB2312" w:hAnsi="仿宋_GB2312" w:eastAsia="仿宋_GB2312" w:cs="仿宋_GB2312"/>
          <w:b w:val="0"/>
          <w:bCs/>
          <w:sz w:val="32"/>
          <w:szCs w:val="32"/>
          <w:lang w:eastAsia="zh-CN"/>
        </w:rPr>
        <w:t>负责应急指挥部日常工作；收集、整理、上报疫苗安全事件处置信息；组织召开专家组会议；经应急指挥部授权，发布处置工作动态；承担应急指挥部交办的其他工作。</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2.1.3.2</w:t>
      </w:r>
      <w:r>
        <w:rPr>
          <w:rFonts w:hint="eastAsia" w:ascii="仿宋_GB2312" w:hAnsi="仿宋_GB2312" w:eastAsia="仿宋_GB2312" w:cs="仿宋_GB2312"/>
          <w:kern w:val="2"/>
          <w:sz w:val="32"/>
          <w:szCs w:val="32"/>
          <w:lang w:val="en-US" w:eastAsia="zh-CN" w:bidi="ar-SA"/>
        </w:rPr>
        <w:t>事件调查组：</w:t>
      </w:r>
      <w:r>
        <w:rPr>
          <w:rFonts w:hint="eastAsia" w:ascii="仿宋_GB2312" w:hAnsi="仿宋_GB2312" w:eastAsia="仿宋_GB2312" w:cs="仿宋_GB2312"/>
          <w:b w:val="0"/>
          <w:bCs/>
          <w:sz w:val="32"/>
          <w:szCs w:val="32"/>
        </w:rPr>
        <w:t>由</w:t>
      </w:r>
      <w:r>
        <w:rPr>
          <w:rFonts w:hint="eastAsia" w:ascii="仿宋_GB2312" w:hAnsi="仿宋_GB2312" w:eastAsia="仿宋_GB2312" w:cs="仿宋_GB2312"/>
          <w:b w:val="0"/>
          <w:bCs/>
          <w:sz w:val="32"/>
          <w:szCs w:val="32"/>
          <w:lang w:eastAsia="zh-CN"/>
        </w:rPr>
        <w:t>区</w:t>
      </w:r>
      <w:r>
        <w:rPr>
          <w:rFonts w:hint="eastAsia" w:ascii="仿宋_GB2312" w:hAnsi="仿宋_GB2312" w:eastAsia="仿宋_GB2312" w:cs="仿宋_GB2312"/>
          <w:b w:val="0"/>
          <w:bCs/>
          <w:sz w:val="32"/>
          <w:szCs w:val="32"/>
        </w:rPr>
        <w:t>市场</w:t>
      </w:r>
      <w:r>
        <w:rPr>
          <w:rFonts w:hint="eastAsia" w:ascii="仿宋_GB2312" w:hAnsi="仿宋_GB2312" w:eastAsia="仿宋_GB2312" w:cs="仿宋_GB2312"/>
          <w:b w:val="0"/>
          <w:bCs/>
          <w:sz w:val="32"/>
          <w:szCs w:val="32"/>
          <w:lang w:eastAsia="zh-CN"/>
        </w:rPr>
        <w:t>监督管理部</w:t>
      </w:r>
      <w:r>
        <w:rPr>
          <w:rFonts w:hint="eastAsia" w:ascii="仿宋_GB2312" w:hAnsi="仿宋_GB2312" w:eastAsia="仿宋_GB2312" w:cs="仿宋_GB2312"/>
          <w:b w:val="0"/>
          <w:bCs/>
          <w:sz w:val="32"/>
          <w:szCs w:val="32"/>
        </w:rPr>
        <w:t>牵头，</w:t>
      </w:r>
      <w:r>
        <w:rPr>
          <w:rFonts w:hint="eastAsia" w:ascii="仿宋_GB2312" w:hAnsi="仿宋_GB2312" w:eastAsia="仿宋_GB2312" w:cs="仿宋_GB2312"/>
          <w:b w:val="0"/>
          <w:bCs/>
          <w:sz w:val="32"/>
          <w:szCs w:val="32"/>
          <w:lang w:eastAsia="zh-CN"/>
        </w:rPr>
        <w:t>区</w:t>
      </w:r>
      <w:r>
        <w:rPr>
          <w:rFonts w:hint="eastAsia" w:ascii="仿宋_GB2312" w:hAnsi="仿宋_GB2312" w:eastAsia="仿宋_GB2312" w:cs="仿宋_GB2312"/>
          <w:b w:val="0"/>
          <w:bCs/>
          <w:sz w:val="32"/>
          <w:szCs w:val="32"/>
        </w:rPr>
        <w:t>公安</w:t>
      </w:r>
      <w:r>
        <w:rPr>
          <w:rFonts w:hint="eastAsia" w:ascii="仿宋_GB2312" w:hAnsi="仿宋_GB2312" w:eastAsia="仿宋_GB2312" w:cs="仿宋_GB2312"/>
          <w:b w:val="0"/>
          <w:bCs/>
          <w:sz w:val="32"/>
          <w:szCs w:val="32"/>
          <w:lang w:eastAsia="zh-CN"/>
        </w:rPr>
        <w:t>分</w:t>
      </w:r>
      <w:r>
        <w:rPr>
          <w:rFonts w:hint="eastAsia" w:ascii="仿宋_GB2312" w:hAnsi="仿宋_GB2312" w:eastAsia="仿宋_GB2312" w:cs="仿宋_GB2312"/>
          <w:b w:val="0"/>
          <w:bCs/>
          <w:sz w:val="32"/>
          <w:szCs w:val="32"/>
        </w:rPr>
        <w:t>局、</w:t>
      </w:r>
      <w:r>
        <w:rPr>
          <w:rFonts w:hint="eastAsia" w:ascii="仿宋_GB2312" w:hAnsi="仿宋_GB2312" w:eastAsia="仿宋_GB2312" w:cs="仿宋_GB2312"/>
          <w:b w:val="0"/>
          <w:bCs/>
          <w:sz w:val="32"/>
          <w:szCs w:val="32"/>
          <w:lang w:eastAsia="zh-CN"/>
        </w:rPr>
        <w:t>区</w:t>
      </w:r>
      <w:r>
        <w:rPr>
          <w:rFonts w:hint="eastAsia" w:ascii="仿宋_GB2312" w:hAnsi="仿宋_GB2312" w:eastAsia="仿宋_GB2312" w:cs="仿宋_GB2312"/>
          <w:b w:val="0"/>
          <w:bCs/>
          <w:sz w:val="32"/>
          <w:szCs w:val="32"/>
        </w:rPr>
        <w:t>卫健</w:t>
      </w:r>
      <w:r>
        <w:rPr>
          <w:rFonts w:hint="eastAsia" w:ascii="仿宋_GB2312" w:hAnsi="仿宋_GB2312" w:eastAsia="仿宋_GB2312" w:cs="仿宋_GB2312"/>
          <w:b w:val="0"/>
          <w:bCs/>
          <w:sz w:val="32"/>
          <w:szCs w:val="32"/>
          <w:lang w:eastAsia="zh-CN"/>
        </w:rPr>
        <w:t>管理办公室</w:t>
      </w:r>
      <w:r>
        <w:rPr>
          <w:rFonts w:hint="eastAsia" w:ascii="仿宋_GB2312" w:hAnsi="仿宋_GB2312" w:eastAsia="仿宋_GB2312" w:cs="仿宋_GB2312"/>
          <w:b w:val="0"/>
          <w:bCs/>
          <w:sz w:val="32"/>
          <w:szCs w:val="32"/>
        </w:rPr>
        <w:t>等部门</w:t>
      </w:r>
      <w:r>
        <w:rPr>
          <w:rFonts w:hint="eastAsia" w:ascii="仿宋_GB2312" w:hAnsi="仿宋_GB2312" w:eastAsia="仿宋_GB2312" w:cs="仿宋_GB2312"/>
          <w:b w:val="0"/>
          <w:bCs/>
          <w:sz w:val="32"/>
          <w:szCs w:val="32"/>
          <w:lang w:eastAsia="zh-CN"/>
        </w:rPr>
        <w:t>参与</w:t>
      </w:r>
      <w:r>
        <w:rPr>
          <w:rFonts w:hint="eastAsia" w:ascii="仿宋_GB2312" w:hAnsi="仿宋_GB2312" w:eastAsia="仿宋_GB2312" w:cs="仿宋_GB2312"/>
          <w:b w:val="0"/>
          <w:bCs/>
          <w:sz w:val="32"/>
          <w:szCs w:val="32"/>
        </w:rPr>
        <w:t>组成。负责</w:t>
      </w:r>
      <w:r>
        <w:rPr>
          <w:rFonts w:hint="eastAsia" w:ascii="仿宋_GB2312" w:hAnsi="仿宋_GB2312" w:eastAsia="仿宋_GB2312" w:cs="仿宋_GB2312"/>
          <w:b w:val="0"/>
          <w:bCs/>
          <w:sz w:val="32"/>
          <w:szCs w:val="32"/>
          <w:lang w:eastAsia="zh-CN"/>
        </w:rPr>
        <w:t>对事件发生的原因和疫苗安全进行全面调查，</w:t>
      </w:r>
      <w:r>
        <w:rPr>
          <w:rFonts w:hint="eastAsia" w:ascii="仿宋_GB2312" w:hAnsi="仿宋_GB2312" w:eastAsia="仿宋_GB2312" w:cs="仿宋_GB2312"/>
          <w:b w:val="0"/>
          <w:bCs/>
          <w:sz w:val="32"/>
          <w:szCs w:val="32"/>
        </w:rPr>
        <w:t>评估事件影响，做出调查结论，提出防范意见；</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2.1.3.3</w:t>
      </w:r>
      <w:r>
        <w:rPr>
          <w:rFonts w:hint="eastAsia" w:ascii="仿宋_GB2312" w:hAnsi="仿宋_GB2312" w:eastAsia="仿宋_GB2312" w:cs="仿宋_GB2312"/>
          <w:kern w:val="2"/>
          <w:sz w:val="32"/>
          <w:szCs w:val="32"/>
          <w:lang w:val="en-US" w:eastAsia="zh-CN" w:bidi="ar-SA"/>
        </w:rPr>
        <w:t>危害控制组：</w:t>
      </w:r>
      <w:r>
        <w:rPr>
          <w:rFonts w:hint="eastAsia" w:ascii="仿宋_GB2312" w:hAnsi="仿宋_GB2312" w:eastAsia="仿宋_GB2312" w:cs="仿宋_GB2312"/>
          <w:b w:val="0"/>
          <w:bCs/>
          <w:sz w:val="32"/>
          <w:szCs w:val="32"/>
          <w:lang w:val="en-US" w:eastAsia="zh-CN"/>
        </w:rPr>
        <w:t>由</w:t>
      </w:r>
      <w:r>
        <w:rPr>
          <w:rFonts w:hint="eastAsia" w:ascii="仿宋_GB2312" w:hAnsi="仿宋_GB2312" w:eastAsia="仿宋_GB2312" w:cs="仿宋_GB2312"/>
          <w:b w:val="0"/>
          <w:bCs/>
          <w:sz w:val="32"/>
          <w:szCs w:val="32"/>
          <w:lang w:eastAsia="zh-CN"/>
        </w:rPr>
        <w:t>区</w:t>
      </w:r>
      <w:r>
        <w:rPr>
          <w:rFonts w:hint="eastAsia" w:ascii="仿宋_GB2312" w:hAnsi="仿宋_GB2312" w:eastAsia="仿宋_GB2312" w:cs="仿宋_GB2312"/>
          <w:b w:val="0"/>
          <w:bCs/>
          <w:sz w:val="32"/>
          <w:szCs w:val="32"/>
        </w:rPr>
        <w:t>市场</w:t>
      </w:r>
      <w:r>
        <w:rPr>
          <w:rFonts w:hint="eastAsia" w:ascii="仿宋_GB2312" w:hAnsi="仿宋_GB2312" w:eastAsia="仿宋_GB2312" w:cs="仿宋_GB2312"/>
          <w:b w:val="0"/>
          <w:bCs/>
          <w:sz w:val="32"/>
          <w:szCs w:val="32"/>
          <w:lang w:eastAsia="zh-CN"/>
        </w:rPr>
        <w:t>监督管理部</w:t>
      </w:r>
      <w:r>
        <w:rPr>
          <w:rFonts w:hint="eastAsia" w:ascii="仿宋_GB2312" w:hAnsi="仿宋_GB2312" w:eastAsia="仿宋_GB2312" w:cs="仿宋_GB2312"/>
          <w:b w:val="0"/>
          <w:bCs/>
          <w:sz w:val="32"/>
          <w:szCs w:val="32"/>
        </w:rPr>
        <w:t>，</w:t>
      </w:r>
      <w:r>
        <w:rPr>
          <w:rFonts w:hint="eastAsia" w:ascii="仿宋_GB2312" w:hAnsi="仿宋_GB2312" w:eastAsia="仿宋_GB2312" w:cs="仿宋_GB2312"/>
          <w:b w:val="0"/>
          <w:bCs/>
          <w:sz w:val="32"/>
          <w:szCs w:val="32"/>
          <w:lang w:eastAsia="zh-CN"/>
        </w:rPr>
        <w:t>区</w:t>
      </w:r>
      <w:r>
        <w:rPr>
          <w:rFonts w:hint="eastAsia" w:ascii="仿宋_GB2312" w:hAnsi="仿宋_GB2312" w:eastAsia="仿宋_GB2312" w:cs="仿宋_GB2312"/>
          <w:b w:val="0"/>
          <w:bCs/>
          <w:sz w:val="32"/>
          <w:szCs w:val="32"/>
        </w:rPr>
        <w:t>卫健</w:t>
      </w:r>
      <w:r>
        <w:rPr>
          <w:rFonts w:hint="eastAsia" w:ascii="仿宋_GB2312" w:hAnsi="仿宋_GB2312" w:eastAsia="仿宋_GB2312" w:cs="仿宋_GB2312"/>
          <w:b w:val="0"/>
          <w:bCs/>
          <w:sz w:val="32"/>
          <w:szCs w:val="32"/>
          <w:lang w:eastAsia="zh-CN"/>
        </w:rPr>
        <w:t>管理办公室等部门参与组成。按照各自职责对问题疫苗依法采取责令停止生产、销售使用或者召回等行政控制措施；监督、指导</w:t>
      </w:r>
      <w:r>
        <w:rPr>
          <w:rFonts w:hint="eastAsia" w:ascii="仿宋_GB2312" w:hAnsi="仿宋_GB2312" w:eastAsia="仿宋_GB2312" w:cs="仿宋_GB2312"/>
          <w:b w:val="0"/>
          <w:bCs/>
          <w:sz w:val="32"/>
          <w:szCs w:val="32"/>
        </w:rPr>
        <w:t>事发地市场监管</w:t>
      </w:r>
      <w:r>
        <w:rPr>
          <w:rFonts w:hint="eastAsia" w:ascii="仿宋_GB2312" w:hAnsi="仿宋_GB2312" w:eastAsia="仿宋_GB2312" w:cs="仿宋_GB2312"/>
          <w:b w:val="0"/>
          <w:bCs/>
          <w:sz w:val="32"/>
          <w:szCs w:val="32"/>
          <w:lang w:eastAsia="zh-CN"/>
        </w:rPr>
        <w:t>所</w:t>
      </w:r>
      <w:r>
        <w:rPr>
          <w:rFonts w:hint="eastAsia" w:ascii="仿宋_GB2312" w:hAnsi="仿宋_GB2312" w:eastAsia="仿宋_GB2312" w:cs="仿宋_GB2312"/>
          <w:b w:val="0"/>
          <w:bCs/>
          <w:sz w:val="32"/>
          <w:szCs w:val="32"/>
        </w:rPr>
        <w:t>、卫生健康</w:t>
      </w:r>
      <w:r>
        <w:rPr>
          <w:rFonts w:hint="eastAsia" w:ascii="仿宋_GB2312" w:hAnsi="仿宋_GB2312" w:eastAsia="仿宋_GB2312" w:cs="仿宋_GB2312"/>
          <w:b w:val="0"/>
          <w:bCs/>
          <w:sz w:val="32"/>
          <w:szCs w:val="32"/>
          <w:lang w:eastAsia="zh-CN"/>
        </w:rPr>
        <w:t>等</w:t>
      </w:r>
      <w:r>
        <w:rPr>
          <w:rFonts w:hint="eastAsia" w:ascii="仿宋_GB2312" w:hAnsi="仿宋_GB2312" w:eastAsia="仿宋_GB2312" w:cs="仿宋_GB2312"/>
          <w:b w:val="0"/>
          <w:bCs/>
          <w:sz w:val="32"/>
          <w:szCs w:val="32"/>
        </w:rPr>
        <w:t>部门按照各自职责对疫苗上市许可持有人、配送单位、疾控机构、接种单位等相关主体采取停止生产、销售、配送、使用等应急处置措施；</w:t>
      </w:r>
      <w:r>
        <w:rPr>
          <w:rFonts w:hint="eastAsia" w:ascii="仿宋_GB2312" w:hAnsi="仿宋_GB2312" w:eastAsia="仿宋_GB2312" w:cs="仿宋_GB2312"/>
          <w:b w:val="0"/>
          <w:bCs/>
          <w:sz w:val="32"/>
          <w:szCs w:val="32"/>
          <w:lang w:eastAsia="zh-CN"/>
        </w:rPr>
        <w:t>按照职责</w:t>
      </w:r>
      <w:r>
        <w:rPr>
          <w:rFonts w:hint="eastAsia" w:ascii="仿宋_GB2312" w:hAnsi="仿宋_GB2312" w:eastAsia="仿宋_GB2312" w:cs="仿宋_GB2312"/>
          <w:b w:val="0"/>
          <w:bCs/>
          <w:sz w:val="32"/>
          <w:szCs w:val="32"/>
        </w:rPr>
        <w:t>依法采取查封、扣押、责令召回和销毁等风险控制措施，防止危害蔓延扩大。</w:t>
      </w:r>
      <w:r>
        <w:rPr>
          <w:rFonts w:hint="eastAsia" w:ascii="仿宋_GB2312" w:hAnsi="仿宋_GB2312" w:eastAsia="仿宋_GB2312" w:cs="仿宋_GB2312"/>
          <w:b w:val="0"/>
          <w:bCs/>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 w:eastAsia="zh-CN"/>
        </w:rPr>
        <w:t>2.1.3.4</w:t>
      </w:r>
      <w:r>
        <w:rPr>
          <w:rFonts w:hint="eastAsia" w:ascii="仿宋_GB2312" w:hAnsi="仿宋_GB2312" w:eastAsia="仿宋_GB2312" w:cs="仿宋_GB2312"/>
          <w:kern w:val="2"/>
          <w:sz w:val="32"/>
          <w:szCs w:val="32"/>
          <w:lang w:val="en-US" w:eastAsia="zh-CN" w:bidi="ar-SA"/>
        </w:rPr>
        <w:t>医疗救治组：</w:t>
      </w:r>
      <w:r>
        <w:rPr>
          <w:rFonts w:hint="eastAsia" w:ascii="仿宋_GB2312" w:hAnsi="仿宋_GB2312" w:eastAsia="仿宋_GB2312" w:cs="仿宋_GB2312"/>
          <w:b w:val="0"/>
          <w:bCs/>
          <w:sz w:val="32"/>
          <w:szCs w:val="32"/>
        </w:rPr>
        <w:t>由</w:t>
      </w:r>
      <w:r>
        <w:rPr>
          <w:rFonts w:hint="eastAsia" w:ascii="仿宋_GB2312" w:hAnsi="仿宋_GB2312" w:eastAsia="仿宋_GB2312" w:cs="仿宋_GB2312"/>
          <w:b w:val="0"/>
          <w:bCs/>
          <w:sz w:val="32"/>
          <w:szCs w:val="32"/>
          <w:lang w:eastAsia="zh-CN"/>
        </w:rPr>
        <w:t>区</w:t>
      </w:r>
      <w:r>
        <w:rPr>
          <w:rFonts w:hint="eastAsia" w:ascii="仿宋_GB2312" w:hAnsi="仿宋_GB2312" w:eastAsia="仿宋_GB2312" w:cs="仿宋_GB2312"/>
          <w:b w:val="0"/>
          <w:bCs/>
          <w:sz w:val="32"/>
          <w:szCs w:val="32"/>
        </w:rPr>
        <w:t>卫健</w:t>
      </w:r>
      <w:r>
        <w:rPr>
          <w:rFonts w:hint="eastAsia" w:ascii="仿宋_GB2312" w:hAnsi="仿宋_GB2312" w:eastAsia="仿宋_GB2312" w:cs="仿宋_GB2312"/>
          <w:b w:val="0"/>
          <w:bCs/>
          <w:sz w:val="32"/>
          <w:szCs w:val="32"/>
          <w:lang w:eastAsia="zh-CN"/>
        </w:rPr>
        <w:t>管理办公室</w:t>
      </w:r>
      <w:r>
        <w:rPr>
          <w:rFonts w:hint="eastAsia" w:ascii="仿宋_GB2312" w:hAnsi="仿宋_GB2312" w:eastAsia="仿宋_GB2312" w:cs="仿宋_GB2312"/>
          <w:b w:val="0"/>
          <w:bCs/>
          <w:sz w:val="32"/>
          <w:szCs w:val="32"/>
        </w:rPr>
        <w:t>牵头，</w:t>
      </w:r>
      <w:r>
        <w:rPr>
          <w:rFonts w:hint="eastAsia" w:ascii="仿宋_GB2312" w:hAnsi="仿宋_GB2312" w:eastAsia="仿宋_GB2312" w:cs="仿宋_GB2312"/>
          <w:b w:val="0"/>
          <w:bCs/>
          <w:sz w:val="32"/>
          <w:szCs w:val="32"/>
          <w:lang w:eastAsia="zh-CN"/>
        </w:rPr>
        <w:t>区</w:t>
      </w:r>
      <w:r>
        <w:rPr>
          <w:rFonts w:hint="eastAsia" w:ascii="仿宋_GB2312" w:hAnsi="仿宋_GB2312" w:eastAsia="仿宋_GB2312" w:cs="仿宋_GB2312"/>
          <w:b w:val="0"/>
          <w:bCs/>
          <w:sz w:val="32"/>
          <w:szCs w:val="32"/>
        </w:rPr>
        <w:t>市场</w:t>
      </w:r>
      <w:r>
        <w:rPr>
          <w:rFonts w:hint="eastAsia" w:ascii="仿宋_GB2312" w:hAnsi="仿宋_GB2312" w:eastAsia="仿宋_GB2312" w:cs="仿宋_GB2312"/>
          <w:b w:val="0"/>
          <w:bCs/>
          <w:sz w:val="32"/>
          <w:szCs w:val="32"/>
          <w:lang w:eastAsia="zh-CN"/>
        </w:rPr>
        <w:t>监督管理部</w:t>
      </w:r>
      <w:r>
        <w:rPr>
          <w:rFonts w:hint="eastAsia" w:ascii="仿宋_GB2312" w:hAnsi="仿宋_GB2312" w:eastAsia="仿宋_GB2312" w:cs="仿宋_GB2312"/>
          <w:b w:val="0"/>
          <w:bCs/>
          <w:sz w:val="32"/>
          <w:szCs w:val="32"/>
        </w:rPr>
        <w:t>等部门</w:t>
      </w:r>
      <w:r>
        <w:rPr>
          <w:rFonts w:hint="eastAsia" w:ascii="仿宋_GB2312" w:hAnsi="仿宋_GB2312" w:eastAsia="仿宋_GB2312" w:cs="仿宋_GB2312"/>
          <w:b w:val="0"/>
          <w:bCs/>
          <w:sz w:val="32"/>
          <w:szCs w:val="32"/>
          <w:lang w:eastAsia="zh-CN"/>
        </w:rPr>
        <w:t>参与</w:t>
      </w:r>
      <w:r>
        <w:rPr>
          <w:rFonts w:hint="eastAsia" w:ascii="仿宋_GB2312" w:hAnsi="仿宋_GB2312" w:eastAsia="仿宋_GB2312" w:cs="仿宋_GB2312"/>
          <w:b w:val="0"/>
          <w:bCs/>
          <w:sz w:val="32"/>
          <w:szCs w:val="32"/>
        </w:rPr>
        <w:t>组成。</w:t>
      </w:r>
      <w:r>
        <w:rPr>
          <w:rFonts w:hint="eastAsia" w:ascii="仿宋_GB2312" w:hAnsi="仿宋_GB2312" w:eastAsia="仿宋_GB2312" w:cs="仿宋_GB2312"/>
          <w:b w:val="0"/>
          <w:bCs/>
          <w:sz w:val="32"/>
          <w:szCs w:val="32"/>
          <w:lang w:eastAsia="zh-CN"/>
        </w:rPr>
        <w:t>负责</w:t>
      </w:r>
      <w:r>
        <w:rPr>
          <w:rFonts w:hint="eastAsia" w:ascii="仿宋_GB2312" w:hAnsi="仿宋_GB2312" w:eastAsia="仿宋_GB2312" w:cs="仿宋_GB2312"/>
          <w:b w:val="0"/>
          <w:bCs/>
          <w:sz w:val="32"/>
          <w:szCs w:val="32"/>
        </w:rPr>
        <w:t>组织</w:t>
      </w:r>
      <w:r>
        <w:rPr>
          <w:rFonts w:hint="eastAsia" w:ascii="仿宋_GB2312" w:hAnsi="仿宋_GB2312" w:eastAsia="仿宋_GB2312" w:cs="仿宋_GB2312"/>
          <w:b w:val="0"/>
          <w:bCs/>
          <w:sz w:val="32"/>
          <w:szCs w:val="32"/>
          <w:lang w:eastAsia="zh-CN"/>
        </w:rPr>
        <w:t>协调相关</w:t>
      </w:r>
      <w:r>
        <w:rPr>
          <w:rFonts w:hint="eastAsia" w:ascii="仿宋_GB2312" w:hAnsi="仿宋_GB2312" w:eastAsia="仿宋_GB2312" w:cs="仿宋_GB2312"/>
          <w:b w:val="0"/>
          <w:bCs/>
          <w:sz w:val="32"/>
          <w:szCs w:val="32"/>
        </w:rPr>
        <w:t>医疗机构</w:t>
      </w:r>
      <w:r>
        <w:rPr>
          <w:rFonts w:hint="eastAsia" w:ascii="仿宋_GB2312" w:hAnsi="仿宋_GB2312" w:eastAsia="仿宋_GB2312" w:cs="仿宋_GB2312"/>
          <w:b w:val="0"/>
          <w:bCs/>
          <w:sz w:val="32"/>
          <w:szCs w:val="32"/>
          <w:lang w:eastAsia="zh-CN"/>
        </w:rPr>
        <w:t>，调派医疗救治专家，实施疫苗安全事件患者救治。</w:t>
      </w:r>
    </w:p>
    <w:p>
      <w:pPr>
        <w:pStyle w:val="7"/>
        <w:keepNext w:val="0"/>
        <w:keepLines w:val="0"/>
        <w:pageBreakBefore w:val="0"/>
        <w:kinsoku/>
        <w:wordWrap/>
        <w:overflowPunct/>
        <w:topLinePunct w:val="0"/>
        <w:autoSpaceDE/>
        <w:autoSpaceDN/>
        <w:bidi w:val="0"/>
        <w:adjustRightInd/>
        <w:snapToGrid/>
        <w:spacing w:beforeAutospacing="0" w:afterAutospacing="0" w:line="576" w:lineRule="exact"/>
        <w:ind w:firstLine="640" w:firstLineChars="2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2.1.</w:t>
      </w:r>
      <w:r>
        <w:rPr>
          <w:rFonts w:hint="eastAsia" w:ascii="仿宋_GB2312" w:hAnsi="仿宋_GB2312" w:eastAsia="仿宋_GB2312" w:cs="仿宋_GB2312"/>
          <w:b w:val="0"/>
          <w:bCs/>
          <w:sz w:val="32"/>
          <w:szCs w:val="32"/>
          <w:lang w:val="en-US" w:eastAsia="zh-CN"/>
        </w:rPr>
        <w:t>3.5</w:t>
      </w:r>
      <w:r>
        <w:rPr>
          <w:rFonts w:hint="eastAsia" w:ascii="仿宋_GB2312" w:hAnsi="仿宋_GB2312" w:eastAsia="仿宋_GB2312" w:cs="仿宋_GB2312"/>
          <w:kern w:val="2"/>
          <w:sz w:val="32"/>
          <w:szCs w:val="32"/>
          <w:lang w:val="en-US" w:eastAsia="zh-CN" w:bidi="ar-SA"/>
        </w:rPr>
        <w:t>应急保障组：</w:t>
      </w:r>
      <w:r>
        <w:rPr>
          <w:rFonts w:hint="eastAsia" w:ascii="仿宋_GB2312" w:hAnsi="仿宋_GB2312" w:eastAsia="仿宋_GB2312" w:cs="仿宋_GB2312"/>
          <w:b w:val="0"/>
          <w:bCs/>
          <w:sz w:val="32"/>
          <w:szCs w:val="32"/>
          <w:lang w:val="en-US" w:eastAsia="zh-CN"/>
        </w:rPr>
        <w:t>由区市场监督管理部牵头，</w:t>
      </w:r>
      <w:r>
        <w:rPr>
          <w:rFonts w:hint="eastAsia" w:ascii="仿宋_GB2312" w:hAnsi="仿宋_GB2312" w:eastAsia="仿宋_GB2312" w:cs="仿宋_GB2312"/>
          <w:b w:val="0"/>
          <w:bCs/>
          <w:sz w:val="32"/>
          <w:szCs w:val="32"/>
          <w:lang w:eastAsia="zh-CN"/>
        </w:rPr>
        <w:t>区</w:t>
      </w:r>
      <w:r>
        <w:rPr>
          <w:rFonts w:hint="eastAsia" w:ascii="仿宋_GB2312" w:hAnsi="仿宋_GB2312" w:eastAsia="仿宋_GB2312" w:cs="仿宋_GB2312"/>
          <w:b w:val="0"/>
          <w:bCs/>
          <w:sz w:val="32"/>
          <w:szCs w:val="32"/>
          <w:lang w:val="en-US" w:eastAsia="zh-CN"/>
        </w:rPr>
        <w:t>经济发展部、</w:t>
      </w:r>
      <w:r>
        <w:rPr>
          <w:rFonts w:hint="eastAsia" w:ascii="仿宋_GB2312" w:hAnsi="仿宋_GB2312" w:eastAsia="仿宋_GB2312" w:cs="仿宋_GB2312"/>
          <w:b w:val="0"/>
          <w:bCs/>
          <w:sz w:val="32"/>
          <w:szCs w:val="32"/>
          <w:lang w:eastAsia="zh-CN"/>
        </w:rPr>
        <w:t>区财政金融部</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lang w:eastAsia="zh-CN"/>
        </w:rPr>
        <w:t>区建设管理部</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lang w:eastAsia="zh-CN"/>
        </w:rPr>
        <w:t>区应急管理处</w:t>
      </w:r>
      <w:r>
        <w:rPr>
          <w:rFonts w:hint="eastAsia" w:ascii="仿宋_GB2312" w:hAnsi="仿宋_GB2312" w:eastAsia="仿宋_GB2312" w:cs="仿宋_GB2312"/>
          <w:b w:val="0"/>
          <w:bCs/>
          <w:sz w:val="32"/>
          <w:szCs w:val="32"/>
          <w:lang w:val="en-US" w:eastAsia="zh-CN"/>
        </w:rPr>
        <w:t>等部门参与组成。负责提供应急救援资金及协助征用交通工具，负责协调组织调运应急救援设施。组织区级应急医药储备调拨和保障。</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2.1.</w:t>
      </w:r>
      <w:r>
        <w:rPr>
          <w:rFonts w:hint="eastAsia" w:ascii="仿宋_GB2312" w:hAnsi="仿宋_GB2312" w:eastAsia="仿宋_GB2312" w:cs="仿宋_GB2312"/>
          <w:b w:val="0"/>
          <w:bCs/>
          <w:sz w:val="32"/>
          <w:szCs w:val="32"/>
          <w:lang w:val="en-US" w:eastAsia="zh-CN"/>
        </w:rPr>
        <w:t>3.6</w:t>
      </w:r>
      <w:r>
        <w:rPr>
          <w:rFonts w:hint="eastAsia" w:ascii="仿宋_GB2312" w:hAnsi="仿宋_GB2312" w:eastAsia="仿宋_GB2312" w:cs="仿宋_GB2312"/>
          <w:kern w:val="2"/>
          <w:sz w:val="32"/>
          <w:szCs w:val="32"/>
          <w:lang w:val="en-US" w:eastAsia="zh-CN" w:bidi="ar-SA"/>
        </w:rPr>
        <w:t>社会稳定组：</w:t>
      </w:r>
      <w:r>
        <w:rPr>
          <w:rFonts w:hint="eastAsia" w:ascii="仿宋_GB2312" w:hAnsi="仿宋_GB2312" w:eastAsia="仿宋_GB2312" w:cs="仿宋_GB2312"/>
          <w:b w:val="0"/>
          <w:bCs/>
          <w:sz w:val="32"/>
          <w:szCs w:val="32"/>
          <w:lang w:eastAsia="zh-CN"/>
        </w:rPr>
        <w:t>由区公安分局</w:t>
      </w:r>
      <w:r>
        <w:rPr>
          <w:rFonts w:hint="eastAsia" w:ascii="仿宋_GB2312" w:hAnsi="仿宋_GB2312" w:eastAsia="仿宋_GB2312" w:cs="仿宋_GB2312"/>
          <w:b w:val="0"/>
          <w:bCs/>
          <w:sz w:val="32"/>
          <w:szCs w:val="32"/>
        </w:rPr>
        <w:t>牵头，</w:t>
      </w:r>
      <w:r>
        <w:rPr>
          <w:rFonts w:hint="eastAsia" w:ascii="仿宋_GB2312" w:hAnsi="仿宋_GB2312" w:eastAsia="仿宋_GB2312" w:cs="仿宋_GB2312"/>
          <w:b w:val="0"/>
          <w:bCs/>
          <w:sz w:val="32"/>
          <w:szCs w:val="32"/>
          <w:lang w:eastAsia="zh-CN"/>
        </w:rPr>
        <w:t>区</w:t>
      </w:r>
      <w:r>
        <w:rPr>
          <w:rFonts w:hint="eastAsia" w:ascii="仿宋_GB2312" w:hAnsi="仿宋_GB2312" w:eastAsia="仿宋_GB2312" w:cs="仿宋_GB2312"/>
          <w:b w:val="0"/>
          <w:bCs/>
          <w:sz w:val="32"/>
          <w:szCs w:val="32"/>
          <w:lang w:val="en-US" w:eastAsia="zh-CN"/>
        </w:rPr>
        <w:t>经济发展部</w:t>
      </w:r>
      <w:r>
        <w:rPr>
          <w:rFonts w:hint="eastAsia" w:ascii="仿宋_GB2312" w:hAnsi="仿宋_GB2312" w:eastAsia="仿宋_GB2312" w:cs="仿宋_GB2312"/>
          <w:b w:val="0"/>
          <w:bCs/>
          <w:sz w:val="32"/>
          <w:szCs w:val="32"/>
        </w:rPr>
        <w:t>、</w:t>
      </w:r>
      <w:r>
        <w:rPr>
          <w:rFonts w:hint="eastAsia" w:ascii="仿宋_GB2312" w:hAnsi="仿宋_GB2312" w:eastAsia="仿宋_GB2312" w:cs="仿宋_GB2312"/>
          <w:b w:val="0"/>
          <w:bCs/>
          <w:sz w:val="32"/>
          <w:szCs w:val="32"/>
          <w:highlight w:val="none"/>
        </w:rPr>
        <w:t>司法</w:t>
      </w:r>
      <w:r>
        <w:rPr>
          <w:rFonts w:hint="eastAsia" w:ascii="仿宋_GB2312" w:hAnsi="仿宋_GB2312" w:eastAsia="仿宋_GB2312" w:cs="仿宋_GB2312"/>
          <w:b w:val="0"/>
          <w:bCs/>
          <w:sz w:val="32"/>
          <w:szCs w:val="32"/>
          <w:highlight w:val="none"/>
          <w:lang w:eastAsia="zh-CN"/>
        </w:rPr>
        <w:t>分</w:t>
      </w:r>
      <w:r>
        <w:rPr>
          <w:rFonts w:hint="eastAsia" w:ascii="仿宋_GB2312" w:hAnsi="仿宋_GB2312" w:eastAsia="仿宋_GB2312" w:cs="仿宋_GB2312"/>
          <w:b w:val="0"/>
          <w:bCs/>
          <w:sz w:val="32"/>
          <w:szCs w:val="32"/>
          <w:highlight w:val="none"/>
        </w:rPr>
        <w:t>局</w:t>
      </w:r>
      <w:r>
        <w:rPr>
          <w:rFonts w:hint="eastAsia" w:ascii="仿宋_GB2312" w:hAnsi="仿宋_GB2312" w:eastAsia="仿宋_GB2312" w:cs="仿宋_GB2312"/>
          <w:b w:val="0"/>
          <w:bCs/>
          <w:sz w:val="32"/>
          <w:szCs w:val="32"/>
        </w:rPr>
        <w:t>、</w:t>
      </w:r>
      <w:r>
        <w:rPr>
          <w:rFonts w:hint="eastAsia" w:ascii="仿宋_GB2312" w:hAnsi="仿宋_GB2312" w:eastAsia="仿宋_GB2312" w:cs="仿宋_GB2312"/>
          <w:b w:val="0"/>
          <w:bCs/>
          <w:sz w:val="32"/>
          <w:szCs w:val="32"/>
          <w:lang w:eastAsia="zh-CN"/>
        </w:rPr>
        <w:t>区卫健管理办公室</w:t>
      </w:r>
      <w:r>
        <w:rPr>
          <w:rFonts w:hint="eastAsia" w:ascii="仿宋_GB2312" w:hAnsi="仿宋_GB2312" w:eastAsia="仿宋_GB2312" w:cs="仿宋_GB2312"/>
          <w:b w:val="0"/>
          <w:bCs/>
          <w:sz w:val="32"/>
          <w:szCs w:val="32"/>
        </w:rPr>
        <w:t>、</w:t>
      </w:r>
      <w:r>
        <w:rPr>
          <w:rFonts w:hint="eastAsia" w:ascii="仿宋_GB2312" w:hAnsi="仿宋_GB2312" w:eastAsia="仿宋_GB2312" w:cs="仿宋_GB2312"/>
          <w:b w:val="0"/>
          <w:bCs/>
          <w:sz w:val="32"/>
          <w:szCs w:val="32"/>
          <w:lang w:eastAsia="zh-CN"/>
        </w:rPr>
        <w:t>区政法维稳处、区</w:t>
      </w:r>
      <w:r>
        <w:rPr>
          <w:rFonts w:hint="eastAsia" w:ascii="仿宋_GB2312" w:hAnsi="仿宋_GB2312" w:eastAsia="仿宋_GB2312" w:cs="仿宋_GB2312"/>
          <w:b w:val="0"/>
          <w:bCs/>
          <w:sz w:val="32"/>
          <w:szCs w:val="32"/>
        </w:rPr>
        <w:t>市场</w:t>
      </w:r>
      <w:r>
        <w:rPr>
          <w:rFonts w:hint="eastAsia" w:ascii="仿宋_GB2312" w:hAnsi="仿宋_GB2312" w:eastAsia="仿宋_GB2312" w:cs="仿宋_GB2312"/>
          <w:b w:val="0"/>
          <w:bCs/>
          <w:sz w:val="32"/>
          <w:szCs w:val="32"/>
          <w:lang w:eastAsia="zh-CN"/>
        </w:rPr>
        <w:t>监督管理部</w:t>
      </w:r>
      <w:r>
        <w:rPr>
          <w:rFonts w:hint="eastAsia" w:ascii="仿宋_GB2312" w:hAnsi="仿宋_GB2312" w:eastAsia="仿宋_GB2312" w:cs="仿宋_GB2312"/>
          <w:b w:val="0"/>
          <w:bCs/>
          <w:sz w:val="32"/>
          <w:szCs w:val="32"/>
        </w:rPr>
        <w:t>等部门组成。严厉打击借机传播疫苗、疫情谣言制造社会恐慌、哄抢物资等违法犯罪行为；加强救助患者的医疗机构、涉事企业、接种点等重点地区单位的治安秩序维护；依法妥善处置群体性事件；做好因疫苗引发的不稳定因素的收集，配合主管部门化解矛盾纠纷，开展法律服务，引导患者亲属依法维权，维护社会稳定。</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2.1.3.7</w:t>
      </w:r>
      <w:r>
        <w:rPr>
          <w:rFonts w:hint="eastAsia" w:ascii="仿宋_GB2312" w:hAnsi="仿宋_GB2312" w:eastAsia="仿宋_GB2312" w:cs="仿宋_GB2312"/>
          <w:kern w:val="2"/>
          <w:sz w:val="32"/>
          <w:szCs w:val="32"/>
          <w:lang w:val="en-US" w:eastAsia="zh-CN" w:bidi="ar-SA"/>
        </w:rPr>
        <w:t>新闻宣传组：</w:t>
      </w:r>
      <w:r>
        <w:rPr>
          <w:rFonts w:hint="eastAsia" w:ascii="仿宋_GB2312" w:hAnsi="仿宋_GB2312" w:eastAsia="仿宋_GB2312" w:cs="仿宋_GB2312"/>
          <w:b w:val="0"/>
          <w:bCs/>
          <w:sz w:val="32"/>
          <w:szCs w:val="32"/>
          <w:lang w:val="en-US" w:eastAsia="zh-CN"/>
        </w:rPr>
        <w:t>由</w:t>
      </w:r>
      <w:r>
        <w:rPr>
          <w:rFonts w:hint="eastAsia" w:ascii="仿宋_GB2312" w:hAnsi="仿宋_GB2312" w:eastAsia="仿宋_GB2312" w:cs="仿宋_GB2312"/>
          <w:b w:val="0"/>
          <w:bCs/>
          <w:sz w:val="32"/>
          <w:szCs w:val="32"/>
          <w:lang w:eastAsia="zh-CN"/>
        </w:rPr>
        <w:t>区</w:t>
      </w:r>
      <w:r>
        <w:rPr>
          <w:rFonts w:hint="eastAsia" w:ascii="仿宋_GB2312" w:hAnsi="仿宋_GB2312" w:eastAsia="仿宋_GB2312" w:cs="仿宋_GB2312"/>
          <w:b w:val="0"/>
          <w:bCs/>
          <w:sz w:val="32"/>
          <w:szCs w:val="32"/>
          <w:lang w:val="en-US" w:eastAsia="zh-CN"/>
        </w:rPr>
        <w:t>宣传办牵头，</w:t>
      </w:r>
      <w:r>
        <w:rPr>
          <w:rFonts w:hint="eastAsia" w:ascii="仿宋_GB2312" w:hAnsi="仿宋_GB2312" w:eastAsia="仿宋_GB2312" w:cs="仿宋_GB2312"/>
          <w:b w:val="0"/>
          <w:bCs/>
          <w:sz w:val="32"/>
          <w:szCs w:val="32"/>
          <w:lang w:eastAsia="zh-CN"/>
        </w:rPr>
        <w:t>区</w:t>
      </w:r>
      <w:r>
        <w:rPr>
          <w:rFonts w:hint="eastAsia" w:ascii="仿宋_GB2312" w:hAnsi="仿宋_GB2312" w:eastAsia="仿宋_GB2312" w:cs="仿宋_GB2312"/>
          <w:b w:val="0"/>
          <w:bCs/>
          <w:sz w:val="32"/>
          <w:szCs w:val="32"/>
          <w:lang w:val="en-US" w:eastAsia="zh-CN"/>
        </w:rPr>
        <w:t>公安分局、</w:t>
      </w:r>
      <w:r>
        <w:rPr>
          <w:rFonts w:hint="eastAsia" w:ascii="仿宋_GB2312" w:hAnsi="仿宋_GB2312" w:eastAsia="仿宋_GB2312" w:cs="仿宋_GB2312"/>
          <w:b w:val="0"/>
          <w:bCs/>
          <w:sz w:val="32"/>
          <w:szCs w:val="32"/>
          <w:lang w:eastAsia="zh-CN"/>
        </w:rPr>
        <w:t>区</w:t>
      </w:r>
      <w:r>
        <w:rPr>
          <w:rFonts w:hint="eastAsia" w:ascii="仿宋_GB2312" w:hAnsi="仿宋_GB2312" w:eastAsia="仿宋_GB2312" w:cs="仿宋_GB2312"/>
          <w:b w:val="0"/>
          <w:bCs/>
          <w:sz w:val="32"/>
          <w:szCs w:val="32"/>
          <w:lang w:val="en-US" w:eastAsia="zh-CN"/>
        </w:rPr>
        <w:t>卫健管理办公室、</w:t>
      </w:r>
      <w:r>
        <w:rPr>
          <w:rFonts w:hint="eastAsia" w:ascii="仿宋_GB2312" w:hAnsi="仿宋_GB2312" w:eastAsia="仿宋_GB2312" w:cs="仿宋_GB2312"/>
          <w:b w:val="0"/>
          <w:bCs/>
          <w:sz w:val="32"/>
          <w:szCs w:val="32"/>
          <w:lang w:eastAsia="zh-CN"/>
        </w:rPr>
        <w:t>区</w:t>
      </w:r>
      <w:r>
        <w:rPr>
          <w:rFonts w:hint="eastAsia" w:ascii="仿宋_GB2312" w:hAnsi="仿宋_GB2312" w:eastAsia="仿宋_GB2312" w:cs="仿宋_GB2312"/>
          <w:b w:val="0"/>
          <w:bCs/>
          <w:sz w:val="32"/>
          <w:szCs w:val="32"/>
          <w:lang w:val="en-US" w:eastAsia="zh-CN"/>
        </w:rPr>
        <w:t>市场监督管理部、</w:t>
      </w:r>
      <w:r>
        <w:rPr>
          <w:rFonts w:hint="eastAsia" w:ascii="仿宋_GB2312" w:hAnsi="仿宋_GB2312" w:eastAsia="仿宋_GB2312" w:cs="仿宋_GB2312"/>
          <w:b w:val="0"/>
          <w:bCs/>
          <w:sz w:val="32"/>
          <w:szCs w:val="32"/>
          <w:lang w:eastAsia="zh-CN"/>
        </w:rPr>
        <w:t>区</w:t>
      </w:r>
      <w:r>
        <w:rPr>
          <w:rFonts w:hint="eastAsia" w:ascii="仿宋_GB2312" w:hAnsi="仿宋_GB2312" w:eastAsia="仿宋_GB2312" w:cs="仿宋_GB2312"/>
          <w:b w:val="0"/>
          <w:bCs/>
          <w:sz w:val="32"/>
          <w:szCs w:val="32"/>
          <w:lang w:val="en-US" w:eastAsia="zh-CN"/>
        </w:rPr>
        <w:t>党群工作部等部门参与组成，涉外、涉台港澳时包括商务和投资促进部等部门。负责舆情监测、新闻发布、宣传报道和舆论引导等工作，根据现场指挥部发布的信息，组织协调新闻媒体做好疫苗安全事件应急处置的新闻报道，积极引导舆论。负责依法依规打击网络谣言，查处造谣、传谣人员。</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2.1.</w:t>
      </w:r>
      <w:r>
        <w:rPr>
          <w:rFonts w:hint="eastAsia" w:ascii="仿宋_GB2312" w:hAnsi="仿宋_GB2312" w:eastAsia="仿宋_GB2312" w:cs="仿宋_GB2312"/>
          <w:b w:val="0"/>
          <w:bCs/>
          <w:sz w:val="32"/>
          <w:szCs w:val="32"/>
          <w:lang w:val="en-US" w:eastAsia="zh-CN"/>
        </w:rPr>
        <w:t>3</w:t>
      </w:r>
      <w:r>
        <w:rPr>
          <w:rFonts w:hint="eastAsia" w:ascii="仿宋_GB2312" w:hAnsi="仿宋_GB2312" w:eastAsia="仿宋_GB2312" w:cs="仿宋_GB2312"/>
          <w:b w:val="0"/>
          <w:bCs/>
          <w:sz w:val="32"/>
          <w:szCs w:val="32"/>
        </w:rPr>
        <w:t>.</w:t>
      </w:r>
      <w:r>
        <w:rPr>
          <w:rFonts w:hint="eastAsia" w:ascii="仿宋_GB2312" w:hAnsi="仿宋_GB2312" w:eastAsia="仿宋_GB2312" w:cs="仿宋_GB2312"/>
          <w:b w:val="0"/>
          <w:bCs/>
          <w:sz w:val="32"/>
          <w:szCs w:val="32"/>
          <w:lang w:val="en-US" w:eastAsia="zh-CN"/>
        </w:rPr>
        <w:t>8</w:t>
      </w:r>
      <w:r>
        <w:rPr>
          <w:rFonts w:hint="eastAsia" w:ascii="仿宋_GB2312" w:hAnsi="仿宋_GB2312" w:eastAsia="仿宋_GB2312" w:cs="仿宋_GB2312"/>
          <w:kern w:val="2"/>
          <w:sz w:val="32"/>
          <w:szCs w:val="32"/>
          <w:lang w:val="en-US" w:eastAsia="zh-CN" w:bidi="ar-SA"/>
        </w:rPr>
        <w:t>专家研判组：</w:t>
      </w:r>
      <w:r>
        <w:rPr>
          <w:rFonts w:hint="eastAsia" w:ascii="仿宋_GB2312" w:hAnsi="仿宋_GB2312" w:eastAsia="仿宋_GB2312" w:cs="仿宋_GB2312"/>
          <w:b w:val="0"/>
          <w:bCs/>
          <w:sz w:val="32"/>
          <w:szCs w:val="32"/>
          <w:lang w:eastAsia="zh-CN"/>
        </w:rPr>
        <w:t>由区市场监督管理部牵头，区卫健管理办公室等部门参与组成。根据疫苗安全事件实际需要</w:t>
      </w:r>
      <w:r>
        <w:rPr>
          <w:rFonts w:hint="eastAsia" w:ascii="仿宋_GB2312" w:hAnsi="仿宋_GB2312" w:eastAsia="仿宋_GB2312" w:cs="仿宋_GB2312"/>
          <w:b w:val="0"/>
          <w:bCs/>
          <w:sz w:val="32"/>
          <w:szCs w:val="32"/>
        </w:rPr>
        <w:t>，</w:t>
      </w:r>
      <w:r>
        <w:rPr>
          <w:rFonts w:hint="eastAsia" w:ascii="仿宋_GB2312" w:hAnsi="仿宋_GB2312" w:eastAsia="仿宋_GB2312" w:cs="仿宋_GB2312"/>
          <w:b w:val="0"/>
          <w:bCs/>
          <w:sz w:val="32"/>
          <w:szCs w:val="32"/>
          <w:lang w:eastAsia="zh-CN"/>
        </w:rPr>
        <w:t>遴选相关专家组成区疫苗安全专家研判组。</w:t>
      </w:r>
      <w:r>
        <w:rPr>
          <w:rFonts w:hint="eastAsia" w:ascii="仿宋_GB2312" w:hAnsi="仿宋_GB2312" w:eastAsia="仿宋_GB2312" w:cs="仿宋_GB2312"/>
          <w:b w:val="0"/>
          <w:bCs/>
          <w:sz w:val="32"/>
          <w:szCs w:val="32"/>
        </w:rPr>
        <w:t>完善相关咨询机制，为疫苗安全事件应急</w:t>
      </w:r>
      <w:r>
        <w:rPr>
          <w:rFonts w:hint="eastAsia" w:ascii="仿宋_GB2312" w:hAnsi="仿宋_GB2312" w:eastAsia="仿宋_GB2312" w:cs="仿宋_GB2312"/>
          <w:b w:val="0"/>
          <w:bCs/>
          <w:sz w:val="32"/>
          <w:szCs w:val="32"/>
          <w:lang w:eastAsia="zh-CN"/>
        </w:rPr>
        <w:t>处置</w:t>
      </w:r>
      <w:r>
        <w:rPr>
          <w:rFonts w:hint="eastAsia" w:ascii="仿宋_GB2312" w:hAnsi="仿宋_GB2312" w:eastAsia="仿宋_GB2312" w:cs="仿宋_GB2312"/>
          <w:b w:val="0"/>
          <w:bCs/>
          <w:sz w:val="32"/>
          <w:szCs w:val="32"/>
        </w:rPr>
        <w:t>工作提供</w:t>
      </w:r>
      <w:r>
        <w:rPr>
          <w:rFonts w:hint="eastAsia" w:ascii="仿宋_GB2312" w:hAnsi="仿宋_GB2312" w:eastAsia="仿宋_GB2312" w:cs="仿宋_GB2312"/>
          <w:b w:val="0"/>
          <w:bCs/>
          <w:sz w:val="32"/>
          <w:szCs w:val="32"/>
          <w:lang w:eastAsia="zh-CN"/>
        </w:rPr>
        <w:t>信息咨询和</w:t>
      </w:r>
      <w:r>
        <w:rPr>
          <w:rFonts w:hint="eastAsia" w:ascii="仿宋_GB2312" w:hAnsi="仿宋_GB2312" w:eastAsia="仿宋_GB2312" w:cs="仿宋_GB2312"/>
          <w:b w:val="0"/>
          <w:bCs/>
          <w:sz w:val="32"/>
          <w:szCs w:val="32"/>
        </w:rPr>
        <w:t>技术支持。</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2.1.4</w:t>
      </w:r>
      <w:r>
        <w:rPr>
          <w:rFonts w:hint="eastAsia" w:ascii="仿宋_GB2312" w:hAnsi="仿宋_GB2312" w:eastAsia="仿宋_GB2312" w:cs="仿宋_GB2312"/>
          <w:b w:val="0"/>
          <w:bCs/>
          <w:sz w:val="32"/>
          <w:szCs w:val="32"/>
          <w:highlight w:val="none"/>
          <w:lang w:val="en-US" w:eastAsia="zh-CN"/>
        </w:rPr>
        <w:t>区市场监管部、</w:t>
      </w:r>
      <w:r>
        <w:rPr>
          <w:rFonts w:hint="eastAsia" w:ascii="仿宋_GB2312" w:hAnsi="仿宋_GB2312" w:eastAsia="仿宋_GB2312" w:cs="仿宋_GB2312"/>
          <w:b w:val="0"/>
          <w:bCs/>
          <w:sz w:val="32"/>
          <w:szCs w:val="32"/>
          <w:highlight w:val="none"/>
          <w:lang w:eastAsia="zh-CN"/>
        </w:rPr>
        <w:t>区</w:t>
      </w:r>
      <w:r>
        <w:rPr>
          <w:rFonts w:hint="eastAsia" w:ascii="仿宋_GB2312" w:hAnsi="仿宋_GB2312" w:eastAsia="仿宋_GB2312" w:cs="仿宋_GB2312"/>
          <w:b w:val="0"/>
          <w:bCs/>
          <w:sz w:val="32"/>
          <w:szCs w:val="32"/>
          <w:highlight w:val="none"/>
          <w:lang w:val="en-US" w:eastAsia="zh-CN"/>
        </w:rPr>
        <w:t>卫健管理办公室</w:t>
      </w:r>
      <w:r>
        <w:rPr>
          <w:rFonts w:hint="eastAsia" w:ascii="仿宋_GB2312" w:hAnsi="仿宋_GB2312" w:eastAsia="仿宋_GB2312" w:cs="仿宋_GB2312"/>
          <w:b w:val="0"/>
          <w:bCs/>
          <w:sz w:val="32"/>
          <w:szCs w:val="32"/>
          <w:lang w:val="en-US" w:eastAsia="zh-CN"/>
        </w:rPr>
        <w:t>负责分别对接聊城市</w:t>
      </w:r>
      <w:r>
        <w:rPr>
          <w:rFonts w:hint="eastAsia" w:ascii="仿宋_GB2312" w:hAnsi="仿宋_GB2312" w:eastAsia="仿宋_GB2312" w:cs="仿宋_GB2312"/>
          <w:b w:val="0"/>
          <w:bCs/>
          <w:color w:val="auto"/>
          <w:sz w:val="32"/>
          <w:szCs w:val="32"/>
        </w:rPr>
        <w:t>市检验检测中心</w:t>
      </w:r>
      <w:r>
        <w:rPr>
          <w:rFonts w:hint="eastAsia" w:ascii="仿宋_GB2312" w:hAnsi="仿宋_GB2312" w:eastAsia="仿宋_GB2312" w:cs="仿宋_GB2312"/>
          <w:b w:val="0"/>
          <w:bCs/>
          <w:color w:val="auto"/>
          <w:sz w:val="32"/>
          <w:szCs w:val="32"/>
          <w:lang w:eastAsia="zh-CN"/>
        </w:rPr>
        <w:t>、聊城市</w:t>
      </w:r>
      <w:r>
        <w:rPr>
          <w:rFonts w:hint="eastAsia" w:ascii="仿宋_GB2312" w:hAnsi="仿宋_GB2312" w:eastAsia="仿宋_GB2312" w:cs="仿宋_GB2312"/>
          <w:b w:val="0"/>
          <w:bCs/>
          <w:color w:val="auto"/>
          <w:sz w:val="32"/>
          <w:szCs w:val="32"/>
        </w:rPr>
        <w:t>疾病预防控制机构</w:t>
      </w:r>
      <w:r>
        <w:rPr>
          <w:rFonts w:hint="eastAsia" w:ascii="仿宋_GB2312" w:hAnsi="仿宋_GB2312" w:eastAsia="仿宋_GB2312" w:cs="仿宋_GB2312"/>
          <w:b w:val="0"/>
          <w:bCs/>
          <w:sz w:val="32"/>
          <w:szCs w:val="32"/>
          <w:lang w:val="en-US" w:eastAsia="zh-CN"/>
        </w:rPr>
        <w:t>组织开展应急抽样、应急检验，以及相关数据、信息的收集分析工作。根据授权或委托，组织开展事件的性质、发展趋势、危害影响等评估研判。</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b w:val="0"/>
          <w:bCs/>
          <w:color w:val="auto"/>
          <w:sz w:val="32"/>
          <w:szCs w:val="32"/>
        </w:rPr>
        <w:t>2.2</w:t>
      </w:r>
      <w:r>
        <w:rPr>
          <w:rFonts w:hint="eastAsia" w:ascii="楷体_GB2312" w:hAnsi="楷体_GB2312" w:eastAsia="楷体_GB2312" w:cs="楷体_GB2312"/>
          <w:kern w:val="2"/>
          <w:sz w:val="32"/>
          <w:szCs w:val="32"/>
          <w:lang w:val="en-US" w:eastAsia="zh-CN" w:bidi="ar-SA"/>
        </w:rPr>
        <w:t>技术支撑机构</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20" w:firstLineChars="200"/>
        <w:jc w:val="left"/>
        <w:textAlignment w:val="auto"/>
        <w:rPr>
          <w:rFonts w:hint="eastAsia" w:ascii="仿宋_GB2312" w:hAnsi="仿宋_GB2312" w:eastAsia="仿宋_GB2312" w:cs="仿宋_GB2312"/>
        </w:rPr>
      </w:pPr>
      <w:r>
        <w:rPr>
          <w:rFonts w:hint="eastAsia" w:ascii="仿宋_GB2312" w:hAnsi="仿宋_GB2312" w:eastAsia="仿宋_GB2312" w:cs="仿宋_GB2312"/>
          <w:color w:val="000000"/>
          <w:kern w:val="0"/>
          <w:sz w:val="31"/>
          <w:szCs w:val="31"/>
          <w:lang w:val="en-US" w:eastAsia="zh-CN" w:bidi="ar"/>
        </w:rPr>
        <w:t>2.2.1各级疾病预防控制机构：负责疑似预防接种异常反应信息收集、汇总、上报工作，协助开展疫苗安全事件应急知识宣传、培训。</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20" w:firstLineChars="200"/>
        <w:jc w:val="left"/>
        <w:textAlignment w:val="auto"/>
        <w:rPr>
          <w:rFonts w:hint="eastAsia" w:ascii="仿宋_GB2312" w:hAnsi="仿宋_GB2312" w:eastAsia="仿宋_GB2312" w:cs="仿宋_GB2312"/>
        </w:rPr>
      </w:pPr>
      <w:r>
        <w:rPr>
          <w:rFonts w:hint="eastAsia" w:ascii="仿宋_GB2312" w:hAnsi="仿宋_GB2312" w:eastAsia="仿宋_GB2312" w:cs="仿宋_GB2312"/>
          <w:color w:val="000000"/>
          <w:kern w:val="0"/>
          <w:sz w:val="31"/>
          <w:szCs w:val="31"/>
          <w:lang w:val="en-US" w:eastAsia="zh-CN" w:bidi="ar"/>
        </w:rPr>
        <w:t>2.2.2各级药品不良反应监测机构：对疑似预防接种异常反应监测数据进行分析与评价；负责药品不良反应相关知识宣传，协助开展疫苗安全事件应急知识宣传、培训。</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20" w:firstLineChars="200"/>
        <w:jc w:val="left"/>
        <w:textAlignment w:val="auto"/>
        <w:rPr>
          <w:rFonts w:hint="eastAsia" w:ascii="仿宋_GB2312" w:hAnsi="仿宋_GB2312" w:eastAsia="仿宋_GB2312" w:cs="仿宋_GB2312"/>
        </w:rPr>
      </w:pPr>
      <w:r>
        <w:rPr>
          <w:rFonts w:hint="eastAsia" w:ascii="仿宋_GB2312" w:hAnsi="仿宋_GB2312" w:eastAsia="仿宋_GB2312" w:cs="仿宋_GB2312"/>
          <w:color w:val="000000"/>
          <w:kern w:val="0"/>
          <w:sz w:val="31"/>
          <w:szCs w:val="31"/>
          <w:lang w:val="en-US" w:eastAsia="zh-CN" w:bidi="ar"/>
        </w:rPr>
        <w:t>2.2.3各级医疗机构：负责事件发生后的患者救治工作；承担本单位药品不良反应和疑似预防接种异常反应监测和报告工作；配合开展临床调查，分析事件发生的原因，必要时可采取暂停使用相关疫苗的紧急措施。</w:t>
      </w:r>
    </w:p>
    <w:p>
      <w:pPr>
        <w:pStyle w:val="7"/>
        <w:keepNext w:val="0"/>
        <w:keepLines w:val="0"/>
        <w:pageBreakBefore w:val="0"/>
        <w:kinsoku/>
        <w:wordWrap/>
        <w:overflowPunct/>
        <w:topLinePunct w:val="0"/>
        <w:autoSpaceDE/>
        <w:autoSpaceDN/>
        <w:bidi w:val="0"/>
        <w:adjustRightInd/>
        <w:snapToGrid/>
        <w:spacing w:beforeAutospacing="0" w:afterAutospacing="0" w:line="576" w:lineRule="exact"/>
        <w:ind w:firstLine="627" w:firstLineChars="196"/>
        <w:jc w:val="both"/>
        <w:textAlignment w:val="auto"/>
        <w:rPr>
          <w:rFonts w:hint="eastAsia" w:ascii="黑体" w:hAnsi="黑体" w:eastAsia="黑体" w:cs="黑体"/>
          <w:b w:val="0"/>
          <w:bCs/>
          <w:kern w:val="2"/>
          <w:sz w:val="32"/>
          <w:szCs w:val="32"/>
        </w:rPr>
      </w:pPr>
      <w:r>
        <w:rPr>
          <w:rFonts w:hint="eastAsia" w:ascii="黑体" w:hAnsi="黑体" w:eastAsia="黑体" w:cs="黑体"/>
          <w:b w:val="0"/>
          <w:bCs/>
          <w:kern w:val="2"/>
          <w:sz w:val="32"/>
          <w:szCs w:val="32"/>
        </w:rPr>
        <w:t>3</w:t>
      </w:r>
      <w:r>
        <w:rPr>
          <w:rFonts w:hint="eastAsia" w:ascii="黑体" w:hAnsi="黑体" w:eastAsia="黑体" w:cs="黑体"/>
          <w:b w:val="0"/>
          <w:bCs/>
          <w:kern w:val="2"/>
          <w:sz w:val="32"/>
          <w:szCs w:val="32"/>
          <w:lang w:val="en-US" w:eastAsia="zh-CN"/>
        </w:rPr>
        <w:t>.</w:t>
      </w:r>
      <w:r>
        <w:rPr>
          <w:rFonts w:hint="eastAsia" w:ascii="黑体" w:hAnsi="黑体" w:eastAsia="黑体" w:cs="黑体"/>
          <w:b w:val="0"/>
          <w:bCs/>
          <w:kern w:val="2"/>
          <w:sz w:val="32"/>
          <w:szCs w:val="32"/>
          <w:lang w:eastAsia="zh-CN"/>
        </w:rPr>
        <w:t>监测、预警、报告和评估</w:t>
      </w:r>
    </w:p>
    <w:p>
      <w:pPr>
        <w:pStyle w:val="7"/>
        <w:keepNext w:val="0"/>
        <w:keepLines w:val="0"/>
        <w:pageBreakBefore w:val="0"/>
        <w:kinsoku/>
        <w:wordWrap/>
        <w:overflowPunct/>
        <w:topLinePunct w:val="0"/>
        <w:autoSpaceDE/>
        <w:autoSpaceDN/>
        <w:bidi w:val="0"/>
        <w:adjustRightInd/>
        <w:snapToGrid/>
        <w:spacing w:beforeAutospacing="0" w:afterAutospacing="0" w:line="576" w:lineRule="exact"/>
        <w:ind w:firstLine="640" w:firstLineChars="200"/>
        <w:jc w:val="both"/>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3.1</w:t>
      </w:r>
      <w:r>
        <w:rPr>
          <w:rFonts w:hint="eastAsia" w:ascii="楷体_GB2312" w:hAnsi="楷体_GB2312" w:eastAsia="楷体_GB2312" w:cs="楷体_GB2312"/>
          <w:kern w:val="2"/>
          <w:sz w:val="32"/>
          <w:szCs w:val="32"/>
          <w:lang w:val="en-US" w:eastAsia="zh-CN" w:bidi="ar-SA"/>
        </w:rPr>
        <w:t>监测</w:t>
      </w:r>
    </w:p>
    <w:p>
      <w:pPr>
        <w:pStyle w:val="7"/>
        <w:keepNext w:val="0"/>
        <w:keepLines w:val="0"/>
        <w:pageBreakBefore w:val="0"/>
        <w:kinsoku/>
        <w:wordWrap/>
        <w:overflowPunct/>
        <w:topLinePunct w:val="0"/>
        <w:autoSpaceDE/>
        <w:autoSpaceDN/>
        <w:bidi w:val="0"/>
        <w:adjustRightInd/>
        <w:snapToGrid/>
        <w:spacing w:beforeAutospacing="0" w:afterAutospacing="0" w:line="576" w:lineRule="exact"/>
        <w:ind w:firstLine="640" w:firstLineChars="2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全</w:t>
      </w:r>
      <w:r>
        <w:rPr>
          <w:rFonts w:hint="eastAsia" w:ascii="仿宋_GB2312" w:hAnsi="仿宋_GB2312" w:eastAsia="仿宋_GB2312" w:cs="仿宋_GB2312"/>
          <w:b w:val="0"/>
          <w:bCs/>
          <w:sz w:val="32"/>
          <w:szCs w:val="32"/>
          <w:lang w:eastAsia="zh-CN"/>
        </w:rPr>
        <w:t>区</w:t>
      </w:r>
      <w:r>
        <w:rPr>
          <w:rFonts w:hint="eastAsia" w:ascii="仿宋_GB2312" w:hAnsi="仿宋_GB2312" w:eastAsia="仿宋_GB2312" w:cs="仿宋_GB2312"/>
          <w:b w:val="0"/>
          <w:bCs/>
          <w:sz w:val="32"/>
          <w:szCs w:val="32"/>
        </w:rPr>
        <w:t>建立统一的疫苗安全风险监测组织体系和信息传递体系，完善监测制度。</w:t>
      </w:r>
      <w:r>
        <w:rPr>
          <w:rFonts w:hint="eastAsia" w:ascii="仿宋_GB2312" w:hAnsi="仿宋_GB2312" w:eastAsia="仿宋_GB2312" w:cs="仿宋_GB2312"/>
          <w:b w:val="0"/>
          <w:bCs/>
          <w:sz w:val="32"/>
          <w:szCs w:val="32"/>
          <w:lang w:eastAsia="zh-CN"/>
        </w:rPr>
        <w:t>各级市场监管部门</w:t>
      </w:r>
      <w:r>
        <w:rPr>
          <w:rFonts w:hint="eastAsia" w:ascii="仿宋_GB2312" w:hAnsi="仿宋_GB2312" w:eastAsia="仿宋_GB2312" w:cs="仿宋_GB2312"/>
          <w:b w:val="0"/>
          <w:bCs/>
          <w:sz w:val="32"/>
          <w:szCs w:val="32"/>
        </w:rPr>
        <w:t>依职责开展日常疫苗安全监督检查、风险监测、舆情监测等工作，收集、分析和研判可能导致疫苗安全事件的风险隐患信息，必要时向有关部门和地区通报，依法采取有效控制措施。</w:t>
      </w:r>
    </w:p>
    <w:p>
      <w:pPr>
        <w:pStyle w:val="7"/>
        <w:keepNext w:val="0"/>
        <w:keepLines w:val="0"/>
        <w:pageBreakBefore w:val="0"/>
        <w:kinsoku/>
        <w:wordWrap/>
        <w:overflowPunct/>
        <w:topLinePunct w:val="0"/>
        <w:autoSpaceDE/>
        <w:autoSpaceDN/>
        <w:bidi w:val="0"/>
        <w:adjustRightInd/>
        <w:snapToGrid/>
        <w:spacing w:beforeAutospacing="0" w:afterAutospacing="0" w:line="576" w:lineRule="exact"/>
        <w:ind w:firstLine="640" w:firstLineChars="200"/>
        <w:jc w:val="both"/>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我区疫苗上市许可持有人、疫苗配送单位应当依法落实疫苗安全主体责任，建立健全风险监测防控措施，定期开展自查，认真排查和消除疫苗安全风险隐患。疫苗上市许可持有人、疫苗配送单位、疾病预防控制机构、接种单位应遵守疫苗储存、运输管理规范，保证疫苗质量。疫苗存在或疑似存在质量问题的，要立即报告当地市场监管部门和相关业务监管部门。</w:t>
      </w:r>
    </w:p>
    <w:p>
      <w:pPr>
        <w:pStyle w:val="7"/>
        <w:keepNext w:val="0"/>
        <w:keepLines w:val="0"/>
        <w:pageBreakBefore w:val="0"/>
        <w:kinsoku/>
        <w:wordWrap/>
        <w:overflowPunct/>
        <w:topLinePunct w:val="0"/>
        <w:autoSpaceDE/>
        <w:autoSpaceDN/>
        <w:bidi w:val="0"/>
        <w:adjustRightInd/>
        <w:snapToGrid/>
        <w:spacing w:beforeAutospacing="0" w:afterAutospacing="0" w:line="576" w:lineRule="exact"/>
        <w:ind w:firstLine="640" w:firstLineChars="2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3.1.</w:t>
      </w:r>
      <w:r>
        <w:rPr>
          <w:rFonts w:hint="eastAsia" w:ascii="仿宋_GB2312" w:hAnsi="仿宋_GB2312" w:eastAsia="仿宋_GB2312" w:cs="仿宋_GB2312"/>
          <w:b w:val="0"/>
          <w:bCs/>
          <w:sz w:val="32"/>
          <w:szCs w:val="32"/>
          <w:lang w:val="en-US" w:eastAsia="zh-CN"/>
        </w:rPr>
        <w:t>1</w:t>
      </w:r>
      <w:r>
        <w:rPr>
          <w:rFonts w:hint="eastAsia" w:ascii="仿宋_GB2312" w:hAnsi="仿宋_GB2312" w:eastAsia="仿宋_GB2312" w:cs="仿宋_GB2312"/>
          <w:kern w:val="2"/>
          <w:sz w:val="32"/>
          <w:szCs w:val="32"/>
          <w:lang w:val="en-US" w:eastAsia="zh-CN" w:bidi="ar-SA"/>
        </w:rPr>
        <w:t>信息来源</w:t>
      </w:r>
    </w:p>
    <w:p>
      <w:pPr>
        <w:pStyle w:val="7"/>
        <w:keepNext w:val="0"/>
        <w:keepLines w:val="0"/>
        <w:pageBreakBefore w:val="0"/>
        <w:kinsoku/>
        <w:wordWrap/>
        <w:overflowPunct/>
        <w:topLinePunct w:val="0"/>
        <w:autoSpaceDE/>
        <w:autoSpaceDN/>
        <w:bidi w:val="0"/>
        <w:adjustRightInd/>
        <w:snapToGrid/>
        <w:spacing w:beforeAutospacing="0" w:afterAutospacing="0" w:line="576" w:lineRule="exact"/>
        <w:ind w:firstLine="640" w:firstLineChars="2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疫苗安全事件信息主要来源包括：</w:t>
      </w:r>
    </w:p>
    <w:p>
      <w:pPr>
        <w:pStyle w:val="7"/>
        <w:keepNext w:val="0"/>
        <w:keepLines w:val="0"/>
        <w:pageBreakBefore w:val="0"/>
        <w:numPr>
          <w:ilvl w:val="0"/>
          <w:numId w:val="1"/>
        </w:numPr>
        <w:kinsoku/>
        <w:wordWrap/>
        <w:overflowPunct/>
        <w:topLinePunct w:val="0"/>
        <w:autoSpaceDE/>
        <w:autoSpaceDN/>
        <w:bidi w:val="0"/>
        <w:adjustRightInd/>
        <w:snapToGrid/>
        <w:spacing w:beforeAutospacing="0" w:afterAutospacing="0" w:line="576" w:lineRule="exact"/>
        <w:ind w:firstLine="640" w:firstLineChars="2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发生疫苗疑似预防接种异常反应</w:t>
      </w:r>
      <w:r>
        <w:rPr>
          <w:rFonts w:hint="eastAsia" w:ascii="仿宋_GB2312" w:hAnsi="仿宋_GB2312" w:eastAsia="仿宋_GB2312" w:cs="仿宋_GB2312"/>
          <w:b w:val="0"/>
          <w:bCs/>
          <w:sz w:val="32"/>
          <w:szCs w:val="32"/>
          <w:lang w:eastAsia="zh-CN"/>
        </w:rPr>
        <w:t>，经卫生健康部门组织专家调查</w:t>
      </w:r>
      <w:r>
        <w:rPr>
          <w:rFonts w:hint="eastAsia" w:ascii="仿宋_GB2312" w:hAnsi="仿宋_GB2312" w:eastAsia="仿宋_GB2312" w:cs="仿宋_GB2312"/>
          <w:b w:val="0"/>
          <w:bCs/>
          <w:sz w:val="32"/>
          <w:szCs w:val="32"/>
        </w:rPr>
        <w:t>诊断确认或者怀疑与疫苗质量有关的信息；</w:t>
      </w:r>
    </w:p>
    <w:p>
      <w:pPr>
        <w:pStyle w:val="7"/>
        <w:keepNext w:val="0"/>
        <w:keepLines w:val="0"/>
        <w:pageBreakBefore w:val="0"/>
        <w:numPr>
          <w:ilvl w:val="0"/>
          <w:numId w:val="1"/>
        </w:numPr>
        <w:kinsoku/>
        <w:wordWrap/>
        <w:overflowPunct/>
        <w:topLinePunct w:val="0"/>
        <w:autoSpaceDE/>
        <w:autoSpaceDN/>
        <w:bidi w:val="0"/>
        <w:adjustRightInd/>
        <w:snapToGrid/>
        <w:spacing w:beforeAutospacing="0" w:afterAutospacing="0" w:line="576" w:lineRule="exact"/>
        <w:ind w:firstLine="640" w:firstLineChars="2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eastAsia="zh-CN"/>
        </w:rPr>
        <w:t>日常监督检查和风险监测中发现的疫苗安全事件信息，疾病预防控制机构、药品不良反应监测机构、药品检验机构报告的信息；</w:t>
      </w:r>
    </w:p>
    <w:p>
      <w:pPr>
        <w:pStyle w:val="7"/>
        <w:keepNext w:val="0"/>
        <w:keepLines w:val="0"/>
        <w:pageBreakBefore w:val="0"/>
        <w:numPr>
          <w:ilvl w:val="0"/>
          <w:numId w:val="1"/>
        </w:numPr>
        <w:kinsoku/>
        <w:wordWrap/>
        <w:overflowPunct/>
        <w:topLinePunct w:val="0"/>
        <w:autoSpaceDE/>
        <w:autoSpaceDN/>
        <w:bidi w:val="0"/>
        <w:adjustRightInd/>
        <w:snapToGrid/>
        <w:spacing w:beforeAutospacing="0" w:afterAutospacing="0" w:line="576" w:lineRule="exact"/>
        <w:ind w:firstLine="640" w:firstLineChars="2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eastAsia="zh-CN"/>
        </w:rPr>
        <w:t>政府和上级部门交办或督办的疫苗安全事件信息；</w:t>
      </w:r>
    </w:p>
    <w:p>
      <w:pPr>
        <w:pStyle w:val="7"/>
        <w:keepNext w:val="0"/>
        <w:keepLines w:val="0"/>
        <w:pageBreakBefore w:val="0"/>
        <w:numPr>
          <w:ilvl w:val="0"/>
          <w:numId w:val="1"/>
        </w:numPr>
        <w:kinsoku/>
        <w:wordWrap/>
        <w:overflowPunct/>
        <w:topLinePunct w:val="0"/>
        <w:autoSpaceDE/>
        <w:autoSpaceDN/>
        <w:bidi w:val="0"/>
        <w:adjustRightInd/>
        <w:snapToGrid/>
        <w:spacing w:beforeAutospacing="0" w:afterAutospacing="0" w:line="576" w:lineRule="exact"/>
        <w:ind w:firstLine="640" w:firstLineChars="2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eastAsia="zh-CN"/>
        </w:rPr>
        <w:t>国内外有关部门通报的疫苗安全事件信息；</w:t>
      </w:r>
    </w:p>
    <w:p>
      <w:pPr>
        <w:pStyle w:val="7"/>
        <w:keepNext w:val="0"/>
        <w:keepLines w:val="0"/>
        <w:pageBreakBefore w:val="0"/>
        <w:numPr>
          <w:ilvl w:val="0"/>
          <w:numId w:val="1"/>
        </w:numPr>
        <w:kinsoku/>
        <w:wordWrap/>
        <w:overflowPunct/>
        <w:topLinePunct w:val="0"/>
        <w:autoSpaceDE/>
        <w:autoSpaceDN/>
        <w:bidi w:val="0"/>
        <w:adjustRightInd/>
        <w:snapToGrid/>
        <w:spacing w:beforeAutospacing="0" w:afterAutospacing="0" w:line="576" w:lineRule="exact"/>
        <w:ind w:firstLine="640" w:firstLineChars="2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eastAsia="zh-CN"/>
        </w:rPr>
        <w:t>群众投诉举报反映的疫苗安全事件信息；</w:t>
      </w:r>
    </w:p>
    <w:p>
      <w:pPr>
        <w:pStyle w:val="7"/>
        <w:keepNext w:val="0"/>
        <w:keepLines w:val="0"/>
        <w:pageBreakBefore w:val="0"/>
        <w:numPr>
          <w:ilvl w:val="0"/>
          <w:numId w:val="1"/>
        </w:numPr>
        <w:kinsoku/>
        <w:wordWrap/>
        <w:overflowPunct/>
        <w:topLinePunct w:val="0"/>
        <w:autoSpaceDE/>
        <w:autoSpaceDN/>
        <w:bidi w:val="0"/>
        <w:adjustRightInd/>
        <w:snapToGrid/>
        <w:spacing w:beforeAutospacing="0" w:afterAutospacing="0" w:line="576" w:lineRule="exact"/>
        <w:ind w:firstLine="640" w:firstLineChars="2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eastAsia="zh-CN"/>
        </w:rPr>
        <w:t>属于或可能形成疫苗安全事件的舆情信息；</w:t>
      </w:r>
    </w:p>
    <w:p>
      <w:pPr>
        <w:pStyle w:val="7"/>
        <w:keepNext w:val="0"/>
        <w:keepLines w:val="0"/>
        <w:pageBreakBefore w:val="0"/>
        <w:numPr>
          <w:ilvl w:val="0"/>
          <w:numId w:val="1"/>
        </w:numPr>
        <w:kinsoku/>
        <w:wordWrap/>
        <w:overflowPunct/>
        <w:topLinePunct w:val="0"/>
        <w:autoSpaceDE/>
        <w:autoSpaceDN/>
        <w:bidi w:val="0"/>
        <w:adjustRightInd/>
        <w:snapToGrid/>
        <w:spacing w:beforeAutospacing="0" w:afterAutospacing="0" w:line="576" w:lineRule="exact"/>
        <w:ind w:firstLine="640" w:firstLineChars="2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eastAsia="zh-CN"/>
        </w:rPr>
        <w:t>其他渠道获取的疫苗安全事件信息。</w:t>
      </w:r>
    </w:p>
    <w:p>
      <w:pPr>
        <w:pStyle w:val="7"/>
        <w:keepNext w:val="0"/>
        <w:keepLines w:val="0"/>
        <w:pageBreakBefore w:val="0"/>
        <w:kinsoku/>
        <w:wordWrap/>
        <w:overflowPunct/>
        <w:topLinePunct w:val="0"/>
        <w:autoSpaceDE/>
        <w:autoSpaceDN/>
        <w:bidi w:val="0"/>
        <w:adjustRightInd/>
        <w:snapToGrid/>
        <w:spacing w:beforeAutospacing="0" w:afterAutospacing="0" w:line="576" w:lineRule="exact"/>
        <w:ind w:firstLine="640" w:firstLineChars="200"/>
        <w:jc w:val="both"/>
        <w:textAlignment w:val="auto"/>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b w:val="0"/>
          <w:bCs/>
          <w:sz w:val="32"/>
          <w:szCs w:val="32"/>
        </w:rPr>
        <w:t>3.2</w:t>
      </w:r>
      <w:r>
        <w:rPr>
          <w:rFonts w:hint="eastAsia" w:ascii="楷体_GB2312" w:hAnsi="楷体_GB2312" w:eastAsia="楷体_GB2312" w:cs="楷体_GB2312"/>
          <w:kern w:val="2"/>
          <w:sz w:val="32"/>
          <w:szCs w:val="32"/>
          <w:lang w:val="en-US" w:eastAsia="zh-CN" w:bidi="ar-SA"/>
        </w:rPr>
        <w:t>预警</w:t>
      </w:r>
    </w:p>
    <w:p>
      <w:pPr>
        <w:pStyle w:val="7"/>
        <w:keepNext w:val="0"/>
        <w:keepLines w:val="0"/>
        <w:pageBreakBefore w:val="0"/>
        <w:kinsoku/>
        <w:wordWrap/>
        <w:overflowPunct/>
        <w:topLinePunct w:val="0"/>
        <w:autoSpaceDE/>
        <w:autoSpaceDN/>
        <w:bidi w:val="0"/>
        <w:adjustRightInd/>
        <w:snapToGrid/>
        <w:spacing w:beforeAutospacing="0" w:afterAutospacing="0" w:line="576" w:lineRule="exact"/>
        <w:ind w:firstLine="640" w:firstLineChars="200"/>
        <w:jc w:val="both"/>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highlight w:val="none"/>
          <w:lang w:val="en-US" w:eastAsia="zh-CN"/>
        </w:rPr>
        <w:t>区</w:t>
      </w:r>
      <w:r>
        <w:rPr>
          <w:rFonts w:hint="eastAsia" w:ascii="仿宋_GB2312" w:hAnsi="仿宋_GB2312" w:eastAsia="仿宋_GB2312" w:cs="仿宋_GB2312"/>
          <w:b w:val="0"/>
          <w:bCs/>
          <w:sz w:val="32"/>
          <w:szCs w:val="32"/>
          <w:highlight w:val="none"/>
        </w:rPr>
        <w:t>市场监管</w:t>
      </w:r>
      <w:r>
        <w:rPr>
          <w:rFonts w:hint="eastAsia" w:ascii="仿宋_GB2312" w:hAnsi="仿宋_GB2312" w:eastAsia="仿宋_GB2312" w:cs="仿宋_GB2312"/>
          <w:b w:val="0"/>
          <w:bCs/>
          <w:sz w:val="32"/>
          <w:szCs w:val="32"/>
          <w:highlight w:val="none"/>
          <w:lang w:eastAsia="zh-CN"/>
        </w:rPr>
        <w:t>部会同</w:t>
      </w:r>
      <w:r>
        <w:rPr>
          <w:rFonts w:hint="eastAsia" w:ascii="仿宋_GB2312" w:hAnsi="仿宋_GB2312" w:eastAsia="仿宋_GB2312" w:cs="仿宋_GB2312"/>
          <w:b w:val="0"/>
          <w:bCs/>
          <w:sz w:val="32"/>
          <w:szCs w:val="32"/>
          <w:highlight w:val="none"/>
          <w:lang w:val="en-US" w:eastAsia="zh-CN"/>
        </w:rPr>
        <w:t>区</w:t>
      </w:r>
      <w:r>
        <w:rPr>
          <w:rFonts w:hint="eastAsia" w:ascii="仿宋_GB2312" w:hAnsi="仿宋_GB2312" w:eastAsia="仿宋_GB2312" w:cs="仿宋_GB2312"/>
          <w:b w:val="0"/>
          <w:bCs/>
          <w:sz w:val="32"/>
          <w:szCs w:val="32"/>
          <w:highlight w:val="none"/>
        </w:rPr>
        <w:t>卫健</w:t>
      </w:r>
      <w:r>
        <w:rPr>
          <w:rFonts w:hint="eastAsia" w:ascii="仿宋_GB2312" w:hAnsi="仿宋_GB2312" w:eastAsia="仿宋_GB2312" w:cs="仿宋_GB2312"/>
          <w:b w:val="0"/>
          <w:bCs/>
          <w:sz w:val="32"/>
          <w:szCs w:val="32"/>
          <w:highlight w:val="none"/>
          <w:lang w:val="en-US" w:eastAsia="zh-CN"/>
        </w:rPr>
        <w:t>管理办公室等部门</w:t>
      </w:r>
      <w:r>
        <w:rPr>
          <w:rFonts w:hint="eastAsia" w:ascii="仿宋_GB2312" w:hAnsi="仿宋_GB2312" w:eastAsia="仿宋_GB2312" w:cs="仿宋_GB2312"/>
          <w:b w:val="0"/>
          <w:bCs/>
          <w:sz w:val="32"/>
          <w:szCs w:val="32"/>
          <w:lang w:eastAsia="zh-CN"/>
        </w:rPr>
        <w:t>建立疫苗质量、预防接种等信息共享机制，针对发现的苗头性、倾向性疫苗安全风险，应及时通报风险预警信息至有关部门、事发地政府以及可能涉及的所在地政府，做好预警防范工作。有事实证明不可能发生突发事件或者危险已经解除的，立即宣布解除警报，终止预警期，并解除已经采取的有关措施。</w:t>
      </w:r>
    </w:p>
    <w:p>
      <w:pPr>
        <w:pStyle w:val="7"/>
        <w:keepNext w:val="0"/>
        <w:keepLines w:val="0"/>
        <w:pageBreakBefore w:val="0"/>
        <w:kinsoku/>
        <w:wordWrap/>
        <w:overflowPunct/>
        <w:topLinePunct w:val="0"/>
        <w:autoSpaceDE/>
        <w:autoSpaceDN/>
        <w:bidi w:val="0"/>
        <w:adjustRightInd/>
        <w:snapToGrid/>
        <w:spacing w:beforeAutospacing="0" w:afterAutospacing="0" w:line="576" w:lineRule="exact"/>
        <w:ind w:firstLine="640" w:firstLineChars="200"/>
        <w:jc w:val="both"/>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3.3</w:t>
      </w:r>
      <w:r>
        <w:rPr>
          <w:rFonts w:hint="eastAsia" w:ascii="楷体_GB2312" w:hAnsi="楷体_GB2312" w:eastAsia="楷体_GB2312" w:cs="楷体_GB2312"/>
          <w:b w:val="0"/>
          <w:bCs/>
          <w:sz w:val="32"/>
          <w:szCs w:val="32"/>
          <w:lang w:val="en-US" w:eastAsia="zh-CN"/>
        </w:rPr>
        <w:t>报告</w:t>
      </w:r>
    </w:p>
    <w:p>
      <w:pPr>
        <w:pStyle w:val="7"/>
        <w:keepNext w:val="0"/>
        <w:keepLines w:val="0"/>
        <w:pageBreakBefore w:val="0"/>
        <w:kinsoku/>
        <w:wordWrap/>
        <w:overflowPunct/>
        <w:topLinePunct w:val="0"/>
        <w:autoSpaceDE/>
        <w:autoSpaceDN/>
        <w:bidi w:val="0"/>
        <w:adjustRightInd/>
        <w:snapToGrid/>
        <w:spacing w:beforeAutospacing="0" w:afterAutospacing="0" w:line="576"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val="0"/>
          <w:bCs/>
          <w:sz w:val="32"/>
          <w:szCs w:val="32"/>
        </w:rPr>
        <w:t>3.3.1</w:t>
      </w:r>
      <w:r>
        <w:rPr>
          <w:rFonts w:hint="eastAsia" w:ascii="仿宋_GB2312" w:hAnsi="仿宋_GB2312" w:eastAsia="仿宋_GB2312" w:cs="仿宋_GB2312"/>
          <w:kern w:val="2"/>
          <w:sz w:val="32"/>
          <w:szCs w:val="32"/>
          <w:lang w:val="en-US" w:eastAsia="zh-CN" w:bidi="ar-SA"/>
        </w:rPr>
        <w:t>报告程序和时限</w:t>
      </w:r>
    </w:p>
    <w:p>
      <w:pPr>
        <w:pStyle w:val="7"/>
        <w:keepNext w:val="0"/>
        <w:keepLines w:val="0"/>
        <w:pageBreakBefore w:val="0"/>
        <w:kinsoku/>
        <w:wordWrap/>
        <w:overflowPunct/>
        <w:topLinePunct w:val="0"/>
        <w:autoSpaceDE/>
        <w:autoSpaceDN/>
        <w:bidi w:val="0"/>
        <w:adjustRightInd/>
        <w:snapToGrid/>
        <w:spacing w:beforeAutospacing="0" w:afterAutospacing="0" w:line="576" w:lineRule="exact"/>
        <w:ind w:firstLine="640" w:firstLineChars="200"/>
        <w:jc w:val="both"/>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各责任主体应按照由下至上逐级报告原则，及时报告疫苗安全事件，紧急情况可同时越级报告。</w:t>
      </w:r>
    </w:p>
    <w:p>
      <w:pPr>
        <w:pStyle w:val="7"/>
        <w:keepNext w:val="0"/>
        <w:keepLines w:val="0"/>
        <w:pageBreakBefore w:val="0"/>
        <w:kinsoku/>
        <w:wordWrap/>
        <w:overflowPunct/>
        <w:topLinePunct w:val="0"/>
        <w:autoSpaceDE/>
        <w:autoSpaceDN/>
        <w:bidi w:val="0"/>
        <w:adjustRightInd/>
        <w:snapToGrid/>
        <w:spacing w:beforeAutospacing="0" w:afterAutospacing="0" w:line="576" w:lineRule="exact"/>
        <w:ind w:firstLine="640" w:firstLineChars="200"/>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1</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kern w:val="2"/>
          <w:sz w:val="32"/>
          <w:szCs w:val="32"/>
          <w:lang w:val="en-US" w:eastAsia="zh-CN" w:bidi="ar-SA"/>
        </w:rPr>
        <w:t>初报</w:t>
      </w:r>
      <w:r>
        <w:rPr>
          <w:rFonts w:hint="eastAsia" w:ascii="仿宋_GB2312" w:hAnsi="仿宋_GB2312" w:eastAsia="仿宋_GB2312" w:cs="仿宋_GB2312"/>
          <w:b w:val="0"/>
          <w:bCs/>
          <w:sz w:val="32"/>
          <w:szCs w:val="32"/>
          <w:lang w:eastAsia="zh-CN"/>
        </w:rPr>
        <w:t>。特别重大及重大级别疫苗安全事件，应在获知相关信息后</w:t>
      </w:r>
      <w:r>
        <w:rPr>
          <w:rFonts w:hint="eastAsia" w:ascii="仿宋_GB2312" w:hAnsi="仿宋_GB2312" w:eastAsia="仿宋_GB2312" w:cs="仿宋_GB2312"/>
          <w:b w:val="0"/>
          <w:bCs/>
          <w:sz w:val="32"/>
          <w:szCs w:val="32"/>
          <w:lang w:val="en-US" w:eastAsia="zh-CN"/>
        </w:rPr>
        <w:t>30分钟内电话报告、1小时内书面报告；较大级别疫苗安全突发事件，应在获知相关信息后6小时内书面报告；其它突发事件可能涉及疫苗安全的，应在获知相关信息后24小时内书面报告。</w:t>
      </w:r>
    </w:p>
    <w:p>
      <w:pPr>
        <w:pStyle w:val="7"/>
        <w:keepNext w:val="0"/>
        <w:keepLines w:val="0"/>
        <w:pageBreakBefore w:val="0"/>
        <w:kinsoku/>
        <w:wordWrap/>
        <w:overflowPunct/>
        <w:topLinePunct w:val="0"/>
        <w:autoSpaceDE/>
        <w:autoSpaceDN/>
        <w:bidi w:val="0"/>
        <w:adjustRightInd/>
        <w:snapToGrid/>
        <w:spacing w:beforeAutospacing="0" w:afterAutospacing="0" w:line="576" w:lineRule="exact"/>
        <w:ind w:firstLine="640" w:firstLineChars="2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eastAsia="zh-CN"/>
        </w:rPr>
        <w:t>发生疫苗安全事件，疫苗上市许可持有人应当立即向国务院药品监督管理部门或者省级药品监督管理部门报告，同时向当地市场监管部门报告；疾病预防控制机构</w:t>
      </w:r>
      <w:r>
        <w:rPr>
          <w:rFonts w:hint="eastAsia" w:ascii="仿宋_GB2312" w:hAnsi="仿宋_GB2312" w:eastAsia="仿宋_GB2312" w:cs="仿宋_GB2312"/>
          <w:b w:val="0"/>
          <w:bCs/>
          <w:sz w:val="32"/>
          <w:szCs w:val="32"/>
        </w:rPr>
        <w:t>、接种单位</w:t>
      </w:r>
      <w:r>
        <w:rPr>
          <w:rFonts w:hint="eastAsia" w:ascii="仿宋_GB2312" w:hAnsi="仿宋_GB2312" w:eastAsia="仿宋_GB2312" w:cs="仿宋_GB2312"/>
          <w:b w:val="0"/>
          <w:bCs/>
          <w:sz w:val="32"/>
          <w:szCs w:val="32"/>
          <w:lang w:eastAsia="zh-CN"/>
        </w:rPr>
        <w:t>、医疗机构</w:t>
      </w:r>
      <w:r>
        <w:rPr>
          <w:rFonts w:hint="eastAsia" w:ascii="仿宋_GB2312" w:hAnsi="仿宋_GB2312" w:eastAsia="仿宋_GB2312" w:cs="仿宋_GB2312"/>
          <w:b w:val="0"/>
          <w:bCs/>
          <w:sz w:val="32"/>
          <w:szCs w:val="32"/>
        </w:rPr>
        <w:t>等单位或个人在发现或获知事件发生后，应按规定向所在地</w:t>
      </w:r>
      <w:r>
        <w:rPr>
          <w:rFonts w:hint="eastAsia" w:ascii="仿宋_GB2312" w:hAnsi="仿宋_GB2312" w:eastAsia="仿宋_GB2312" w:cs="仿宋_GB2312"/>
          <w:b w:val="0"/>
          <w:bCs/>
          <w:sz w:val="32"/>
          <w:szCs w:val="32"/>
          <w:lang w:eastAsia="zh-CN"/>
        </w:rPr>
        <w:t>卫生健康部门、</w:t>
      </w:r>
      <w:r>
        <w:rPr>
          <w:rFonts w:hint="eastAsia" w:ascii="仿宋_GB2312" w:hAnsi="仿宋_GB2312" w:eastAsia="仿宋_GB2312" w:cs="仿宋_GB2312"/>
          <w:b w:val="0"/>
          <w:bCs/>
          <w:sz w:val="32"/>
          <w:szCs w:val="32"/>
        </w:rPr>
        <w:t>市场监管</w:t>
      </w:r>
      <w:r>
        <w:rPr>
          <w:rFonts w:hint="eastAsia" w:ascii="仿宋_GB2312" w:hAnsi="仿宋_GB2312" w:eastAsia="仿宋_GB2312" w:cs="仿宋_GB2312"/>
          <w:b w:val="0"/>
          <w:bCs/>
          <w:sz w:val="32"/>
          <w:szCs w:val="32"/>
          <w:lang w:eastAsia="zh-CN"/>
        </w:rPr>
        <w:t>部门</w:t>
      </w:r>
      <w:r>
        <w:rPr>
          <w:rFonts w:hint="eastAsia" w:ascii="仿宋_GB2312" w:hAnsi="仿宋_GB2312" w:eastAsia="仿宋_GB2312" w:cs="仿宋_GB2312"/>
          <w:b w:val="0"/>
          <w:bCs/>
          <w:sz w:val="32"/>
          <w:szCs w:val="32"/>
        </w:rPr>
        <w:t>报告。卫生健康部门</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市场监管</w:t>
      </w:r>
      <w:r>
        <w:rPr>
          <w:rFonts w:hint="eastAsia" w:ascii="仿宋_GB2312" w:hAnsi="仿宋_GB2312" w:eastAsia="仿宋_GB2312" w:cs="仿宋_GB2312"/>
          <w:b w:val="0"/>
          <w:bCs/>
          <w:sz w:val="32"/>
          <w:szCs w:val="32"/>
          <w:lang w:eastAsia="zh-CN"/>
        </w:rPr>
        <w:t>部门</w:t>
      </w:r>
      <w:r>
        <w:rPr>
          <w:rFonts w:hint="eastAsia" w:ascii="仿宋_GB2312" w:hAnsi="仿宋_GB2312" w:eastAsia="仿宋_GB2312" w:cs="仿宋_GB2312"/>
          <w:b w:val="0"/>
          <w:bCs/>
          <w:sz w:val="32"/>
          <w:szCs w:val="32"/>
        </w:rPr>
        <w:t>接到报告后，应在规定时间内向本级人民政府和上级主管部门报告。市场监管、卫生健康部门在接到事件信息报告后，</w:t>
      </w:r>
      <w:r>
        <w:rPr>
          <w:rFonts w:hint="eastAsia" w:ascii="仿宋_GB2312" w:hAnsi="仿宋_GB2312" w:eastAsia="仿宋_GB2312" w:cs="仿宋_GB2312"/>
          <w:b w:val="0"/>
          <w:bCs/>
          <w:sz w:val="32"/>
          <w:szCs w:val="32"/>
          <w:lang w:eastAsia="zh-CN"/>
        </w:rPr>
        <w:t>还</w:t>
      </w:r>
      <w:r>
        <w:rPr>
          <w:rFonts w:hint="eastAsia" w:ascii="仿宋_GB2312" w:hAnsi="仿宋_GB2312" w:eastAsia="仿宋_GB2312" w:cs="仿宋_GB2312"/>
          <w:b w:val="0"/>
          <w:bCs/>
          <w:sz w:val="32"/>
          <w:szCs w:val="32"/>
        </w:rPr>
        <w:t>应按规定在2小时内进行相互通报。信息报送时限另有规定的，按有关规定执行。</w:t>
      </w:r>
    </w:p>
    <w:p>
      <w:pPr>
        <w:pStyle w:val="7"/>
        <w:keepNext w:val="0"/>
        <w:keepLines w:val="0"/>
        <w:pageBreakBefore w:val="0"/>
        <w:kinsoku/>
        <w:wordWrap/>
        <w:overflowPunct/>
        <w:topLinePunct w:val="0"/>
        <w:autoSpaceDE/>
        <w:autoSpaceDN/>
        <w:bidi w:val="0"/>
        <w:adjustRightInd/>
        <w:snapToGrid/>
        <w:spacing w:beforeAutospacing="0" w:afterAutospacing="0" w:line="576" w:lineRule="exact"/>
        <w:ind w:firstLine="640" w:firstLineChars="200"/>
        <w:jc w:val="both"/>
        <w:textAlignment w:val="auto"/>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rPr>
        <w:t>（2）</w:t>
      </w:r>
      <w:r>
        <w:rPr>
          <w:rFonts w:hint="eastAsia" w:ascii="仿宋_GB2312" w:hAnsi="仿宋_GB2312" w:eastAsia="仿宋_GB2312" w:cs="仿宋_GB2312"/>
          <w:kern w:val="2"/>
          <w:sz w:val="32"/>
          <w:szCs w:val="32"/>
          <w:highlight w:val="none"/>
          <w:lang w:val="en-US" w:eastAsia="zh-CN" w:bidi="ar-SA"/>
        </w:rPr>
        <w:t>续报</w:t>
      </w:r>
      <w:r>
        <w:rPr>
          <w:rFonts w:hint="eastAsia" w:ascii="仿宋_GB2312" w:hAnsi="仿宋_GB2312" w:eastAsia="仿宋_GB2312" w:cs="仿宋_GB2312"/>
          <w:b w:val="0"/>
          <w:bCs/>
          <w:sz w:val="32"/>
          <w:szCs w:val="32"/>
          <w:highlight w:val="none"/>
        </w:rPr>
        <w:t>。续报是事发地市场监管、卫生健康部门在事件处置过程中的阶段性报告，初报后，</w:t>
      </w:r>
      <w:r>
        <w:rPr>
          <w:rFonts w:hint="eastAsia" w:ascii="仿宋_GB2312" w:hAnsi="仿宋_GB2312" w:eastAsia="仿宋_GB2312" w:cs="仿宋_GB2312"/>
          <w:b w:val="0"/>
          <w:bCs/>
          <w:sz w:val="32"/>
          <w:szCs w:val="32"/>
          <w:highlight w:val="none"/>
          <w:lang w:eastAsia="zh-CN"/>
        </w:rPr>
        <w:t>各级</w:t>
      </w:r>
      <w:r>
        <w:rPr>
          <w:rFonts w:hint="eastAsia" w:ascii="仿宋_GB2312" w:hAnsi="仿宋_GB2312" w:eastAsia="仿宋_GB2312" w:cs="仿宋_GB2312"/>
          <w:b w:val="0"/>
          <w:bCs/>
          <w:sz w:val="32"/>
          <w:szCs w:val="32"/>
          <w:highlight w:val="none"/>
        </w:rPr>
        <w:t>市场监管</w:t>
      </w:r>
      <w:r>
        <w:rPr>
          <w:rFonts w:hint="eastAsia" w:ascii="仿宋_GB2312" w:hAnsi="仿宋_GB2312" w:eastAsia="仿宋_GB2312" w:cs="仿宋_GB2312"/>
          <w:b w:val="0"/>
          <w:bCs/>
          <w:sz w:val="32"/>
          <w:szCs w:val="32"/>
          <w:highlight w:val="none"/>
          <w:lang w:eastAsia="zh-CN"/>
        </w:rPr>
        <w:t>部门</w:t>
      </w:r>
      <w:r>
        <w:rPr>
          <w:rFonts w:hint="eastAsia" w:ascii="仿宋_GB2312" w:hAnsi="仿宋_GB2312" w:eastAsia="仿宋_GB2312" w:cs="仿宋_GB2312"/>
          <w:b w:val="0"/>
          <w:bCs/>
          <w:sz w:val="32"/>
          <w:szCs w:val="32"/>
          <w:highlight w:val="none"/>
        </w:rPr>
        <w:t>要加强相关情况的跟踪核实，组织分析研判，根据事件发展、</w:t>
      </w:r>
      <w:r>
        <w:rPr>
          <w:rFonts w:hint="eastAsia" w:ascii="仿宋_GB2312" w:hAnsi="仿宋_GB2312" w:eastAsia="仿宋_GB2312" w:cs="仿宋_GB2312"/>
          <w:b w:val="0"/>
          <w:bCs/>
          <w:sz w:val="32"/>
          <w:szCs w:val="32"/>
          <w:highlight w:val="none"/>
          <w:lang w:eastAsia="zh-CN"/>
        </w:rPr>
        <w:t>原因分析、</w:t>
      </w:r>
      <w:r>
        <w:rPr>
          <w:rFonts w:hint="eastAsia" w:ascii="仿宋_GB2312" w:hAnsi="仿宋_GB2312" w:eastAsia="仿宋_GB2312" w:cs="仿宋_GB2312"/>
          <w:b w:val="0"/>
          <w:bCs/>
          <w:sz w:val="32"/>
          <w:szCs w:val="32"/>
          <w:highlight w:val="none"/>
        </w:rPr>
        <w:t>应急处置等情况，及时</w:t>
      </w:r>
      <w:r>
        <w:rPr>
          <w:rFonts w:hint="eastAsia" w:ascii="仿宋_GB2312" w:hAnsi="仿宋_GB2312" w:eastAsia="仿宋_GB2312" w:cs="仿宋_GB2312"/>
          <w:b w:val="0"/>
          <w:bCs/>
          <w:sz w:val="32"/>
          <w:szCs w:val="32"/>
          <w:highlight w:val="none"/>
          <w:lang w:eastAsia="zh-CN"/>
        </w:rPr>
        <w:t>逐级</w:t>
      </w:r>
      <w:r>
        <w:rPr>
          <w:rFonts w:hint="eastAsia" w:ascii="仿宋_GB2312" w:hAnsi="仿宋_GB2312" w:eastAsia="仿宋_GB2312" w:cs="仿宋_GB2312"/>
          <w:b w:val="0"/>
          <w:bCs/>
          <w:sz w:val="32"/>
          <w:szCs w:val="32"/>
          <w:highlight w:val="none"/>
        </w:rPr>
        <w:t>续报有关信息</w:t>
      </w:r>
      <w:r>
        <w:rPr>
          <w:rFonts w:hint="eastAsia" w:ascii="仿宋_GB2312" w:hAnsi="仿宋_GB2312" w:eastAsia="仿宋_GB2312" w:cs="仿宋_GB2312"/>
          <w:b w:val="0"/>
          <w:bCs/>
          <w:sz w:val="32"/>
          <w:szCs w:val="32"/>
          <w:highlight w:val="none"/>
          <w:lang w:eastAsia="zh-CN"/>
        </w:rPr>
        <w:t>，直至事件调查处理结束。</w:t>
      </w:r>
      <w:r>
        <w:rPr>
          <w:rFonts w:hint="eastAsia" w:ascii="仿宋_GB2312" w:hAnsi="仿宋_GB2312" w:eastAsia="仿宋_GB2312" w:cs="仿宋_GB2312"/>
          <w:b w:val="0"/>
          <w:bCs/>
          <w:sz w:val="32"/>
          <w:szCs w:val="32"/>
          <w:highlight w:val="none"/>
        </w:rPr>
        <w:t>特别重大及重大疫苗安全事件每天至少上报一次信息</w:t>
      </w:r>
      <w:r>
        <w:rPr>
          <w:rFonts w:hint="eastAsia" w:ascii="仿宋_GB2312" w:hAnsi="仿宋_GB2312" w:eastAsia="仿宋_GB2312" w:cs="仿宋_GB2312"/>
          <w:b w:val="0"/>
          <w:bCs/>
          <w:sz w:val="32"/>
          <w:szCs w:val="32"/>
          <w:highlight w:val="none"/>
          <w:lang w:eastAsia="zh-CN"/>
        </w:rPr>
        <w:t>；其它疫苗安全事件，</w:t>
      </w:r>
      <w:r>
        <w:rPr>
          <w:rFonts w:hint="eastAsia" w:ascii="仿宋_GB2312" w:hAnsi="仿宋_GB2312" w:eastAsia="仿宋_GB2312" w:cs="仿宋_GB2312"/>
          <w:b w:val="0"/>
          <w:bCs/>
          <w:sz w:val="32"/>
          <w:szCs w:val="32"/>
          <w:highlight w:val="none"/>
        </w:rPr>
        <w:t>在处置过程中取得重大进展或可确定关键性信息的，应</w:t>
      </w:r>
      <w:r>
        <w:rPr>
          <w:rFonts w:hint="eastAsia" w:ascii="仿宋_GB2312" w:hAnsi="仿宋_GB2312" w:eastAsia="仿宋_GB2312" w:cs="仿宋_GB2312"/>
          <w:b w:val="0"/>
          <w:bCs/>
          <w:sz w:val="32"/>
          <w:szCs w:val="32"/>
          <w:highlight w:val="none"/>
          <w:lang w:eastAsia="zh-CN"/>
        </w:rPr>
        <w:t>在</w:t>
      </w:r>
      <w:r>
        <w:rPr>
          <w:rFonts w:hint="eastAsia" w:ascii="仿宋_GB2312" w:hAnsi="仿宋_GB2312" w:eastAsia="仿宋_GB2312" w:cs="仿宋_GB2312"/>
          <w:b w:val="0"/>
          <w:bCs/>
          <w:sz w:val="32"/>
          <w:szCs w:val="32"/>
          <w:highlight w:val="none"/>
          <w:lang w:val="en-US" w:eastAsia="zh-CN"/>
        </w:rPr>
        <w:t>24小时内</w:t>
      </w:r>
      <w:r>
        <w:rPr>
          <w:rFonts w:hint="eastAsia" w:ascii="仿宋_GB2312" w:hAnsi="仿宋_GB2312" w:eastAsia="仿宋_GB2312" w:cs="仿宋_GB2312"/>
          <w:b w:val="0"/>
          <w:bCs/>
          <w:sz w:val="32"/>
          <w:szCs w:val="32"/>
          <w:highlight w:val="none"/>
        </w:rPr>
        <w:t>上报进展情况。</w:t>
      </w:r>
    </w:p>
    <w:p>
      <w:pPr>
        <w:pStyle w:val="7"/>
        <w:keepNext w:val="0"/>
        <w:keepLines w:val="0"/>
        <w:pageBreakBefore w:val="0"/>
        <w:kinsoku/>
        <w:wordWrap/>
        <w:overflowPunct/>
        <w:topLinePunct w:val="0"/>
        <w:autoSpaceDE/>
        <w:autoSpaceDN/>
        <w:bidi w:val="0"/>
        <w:adjustRightInd/>
        <w:snapToGrid/>
        <w:spacing w:beforeAutospacing="0" w:afterAutospacing="0" w:line="576" w:lineRule="exact"/>
        <w:ind w:firstLine="640" w:firstLineChars="200"/>
        <w:jc w:val="both"/>
        <w:textAlignment w:val="auto"/>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rPr>
        <w:t>（3）</w:t>
      </w:r>
      <w:r>
        <w:rPr>
          <w:rFonts w:hint="eastAsia" w:ascii="仿宋_GB2312" w:hAnsi="仿宋_GB2312" w:eastAsia="仿宋_GB2312" w:cs="仿宋_GB2312"/>
          <w:kern w:val="2"/>
          <w:sz w:val="32"/>
          <w:szCs w:val="32"/>
          <w:highlight w:val="none"/>
          <w:lang w:val="en-US" w:eastAsia="zh-CN" w:bidi="ar-SA"/>
        </w:rPr>
        <w:t>终报</w:t>
      </w:r>
      <w:r>
        <w:rPr>
          <w:rFonts w:hint="eastAsia" w:ascii="仿宋_GB2312" w:hAnsi="仿宋_GB2312" w:eastAsia="仿宋_GB2312" w:cs="仿宋_GB2312"/>
          <w:b w:val="0"/>
          <w:bCs/>
          <w:sz w:val="32"/>
          <w:szCs w:val="32"/>
          <w:highlight w:val="none"/>
        </w:rPr>
        <w:t>。终报是事发地市场监管、卫生健康部门在事件处置结束后的总结评估报告，主要内容包括：基本情况、事件定性、应对情况、原因分析、责任追究（认定）、类似事件预防措施等内容，并附流行病学调查报告；对事件应对处置过程中的经验和存在问题进行总结评估，并提出今后防范类似事件发生的措施和建议。应于突发事件处置结束后7个工作日内上报。</w:t>
      </w:r>
    </w:p>
    <w:p>
      <w:pPr>
        <w:pStyle w:val="7"/>
        <w:keepNext w:val="0"/>
        <w:keepLines w:val="0"/>
        <w:pageBreakBefore w:val="0"/>
        <w:kinsoku/>
        <w:wordWrap/>
        <w:overflowPunct/>
        <w:topLinePunct w:val="0"/>
        <w:autoSpaceDE/>
        <w:autoSpaceDN/>
        <w:bidi w:val="0"/>
        <w:adjustRightInd/>
        <w:snapToGrid/>
        <w:spacing w:beforeAutospacing="0" w:afterAutospacing="0" w:line="576" w:lineRule="exact"/>
        <w:ind w:firstLine="640" w:firstLineChars="2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3.3.2</w:t>
      </w:r>
      <w:r>
        <w:rPr>
          <w:rFonts w:hint="eastAsia" w:ascii="仿宋_GB2312" w:hAnsi="仿宋_GB2312" w:eastAsia="仿宋_GB2312" w:cs="仿宋_GB2312"/>
          <w:kern w:val="2"/>
          <w:sz w:val="32"/>
          <w:szCs w:val="32"/>
          <w:lang w:val="en-US" w:eastAsia="zh-CN" w:bidi="ar-SA"/>
        </w:rPr>
        <w:t>报告内容和方式</w:t>
      </w:r>
    </w:p>
    <w:p>
      <w:pPr>
        <w:pStyle w:val="7"/>
        <w:keepNext w:val="0"/>
        <w:keepLines w:val="0"/>
        <w:pageBreakBefore w:val="0"/>
        <w:kinsoku/>
        <w:wordWrap/>
        <w:overflowPunct/>
        <w:topLinePunct w:val="0"/>
        <w:autoSpaceDE/>
        <w:autoSpaceDN/>
        <w:bidi w:val="0"/>
        <w:adjustRightInd/>
        <w:snapToGrid/>
        <w:spacing w:beforeAutospacing="0" w:afterAutospacing="0" w:line="576" w:lineRule="exact"/>
        <w:ind w:firstLine="640" w:firstLineChars="2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事件信息报告一般采取</w:t>
      </w:r>
      <w:r>
        <w:rPr>
          <w:rFonts w:hint="eastAsia" w:ascii="仿宋_GB2312" w:hAnsi="仿宋_GB2312" w:eastAsia="仿宋_GB2312" w:cs="仿宋_GB2312"/>
          <w:b w:val="0"/>
          <w:bCs/>
          <w:sz w:val="32"/>
          <w:szCs w:val="32"/>
          <w:lang w:eastAsia="zh-CN"/>
        </w:rPr>
        <w:t>书面等形式向上级部门报告，紧急情况下</w:t>
      </w:r>
      <w:r>
        <w:rPr>
          <w:rFonts w:hint="eastAsia" w:ascii="仿宋_GB2312" w:hAnsi="仿宋_GB2312" w:eastAsia="仿宋_GB2312" w:cs="仿宋_GB2312"/>
          <w:b w:val="0"/>
          <w:bCs/>
          <w:sz w:val="32"/>
          <w:szCs w:val="32"/>
        </w:rPr>
        <w:t>可通过电话</w:t>
      </w:r>
      <w:r>
        <w:rPr>
          <w:rFonts w:hint="eastAsia" w:ascii="仿宋_GB2312" w:hAnsi="仿宋_GB2312" w:eastAsia="仿宋_GB2312" w:cs="仿宋_GB2312"/>
          <w:b w:val="0"/>
          <w:bCs/>
          <w:sz w:val="32"/>
          <w:szCs w:val="32"/>
          <w:lang w:eastAsia="zh-CN"/>
        </w:rPr>
        <w:t>方式</w:t>
      </w:r>
      <w:r>
        <w:rPr>
          <w:rFonts w:hint="eastAsia" w:ascii="仿宋_GB2312" w:hAnsi="仿宋_GB2312" w:eastAsia="仿宋_GB2312" w:cs="仿宋_GB2312"/>
          <w:b w:val="0"/>
          <w:bCs/>
          <w:sz w:val="32"/>
          <w:szCs w:val="32"/>
        </w:rPr>
        <w:t>先行报告。涉密信息的报告按保密有关规定执行。</w:t>
      </w:r>
    </w:p>
    <w:p>
      <w:pPr>
        <w:pStyle w:val="7"/>
        <w:keepNext w:val="0"/>
        <w:keepLines w:val="0"/>
        <w:pageBreakBefore w:val="0"/>
        <w:kinsoku/>
        <w:wordWrap/>
        <w:overflowPunct/>
        <w:topLinePunct w:val="0"/>
        <w:autoSpaceDE/>
        <w:autoSpaceDN/>
        <w:bidi w:val="0"/>
        <w:adjustRightInd/>
        <w:snapToGrid/>
        <w:spacing w:beforeAutospacing="0" w:afterAutospacing="0" w:line="576" w:lineRule="exact"/>
        <w:ind w:firstLine="640" w:firstLineChars="200"/>
        <w:jc w:val="both"/>
        <w:textAlignment w:val="auto"/>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b w:val="0"/>
          <w:bCs/>
          <w:sz w:val="32"/>
          <w:szCs w:val="32"/>
        </w:rPr>
        <w:t>3.4</w:t>
      </w:r>
      <w:r>
        <w:rPr>
          <w:rFonts w:hint="eastAsia" w:ascii="楷体_GB2312" w:hAnsi="楷体_GB2312" w:eastAsia="楷体_GB2312" w:cs="楷体_GB2312"/>
          <w:kern w:val="2"/>
          <w:sz w:val="32"/>
          <w:szCs w:val="32"/>
          <w:lang w:val="en-US" w:eastAsia="zh-CN" w:bidi="ar-SA"/>
        </w:rPr>
        <w:t>事件评估</w:t>
      </w:r>
    </w:p>
    <w:p>
      <w:pPr>
        <w:pStyle w:val="7"/>
        <w:keepNext w:val="0"/>
        <w:keepLines w:val="0"/>
        <w:pageBreakBefore w:val="0"/>
        <w:kinsoku/>
        <w:wordWrap/>
        <w:overflowPunct/>
        <w:topLinePunct w:val="0"/>
        <w:autoSpaceDE/>
        <w:autoSpaceDN/>
        <w:bidi w:val="0"/>
        <w:adjustRightInd/>
        <w:snapToGrid/>
        <w:spacing w:beforeAutospacing="0" w:afterAutospacing="0" w:line="576" w:lineRule="exact"/>
        <w:ind w:firstLine="640" w:firstLineChars="2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疫苗安全事件发生后，市场监管</w:t>
      </w:r>
      <w:r>
        <w:rPr>
          <w:rFonts w:hint="eastAsia" w:ascii="仿宋_GB2312" w:hAnsi="仿宋_GB2312" w:eastAsia="仿宋_GB2312" w:cs="仿宋_GB2312"/>
          <w:b w:val="0"/>
          <w:bCs/>
          <w:sz w:val="32"/>
          <w:szCs w:val="32"/>
          <w:lang w:eastAsia="zh-CN"/>
        </w:rPr>
        <w:t>部门会同</w:t>
      </w:r>
      <w:r>
        <w:rPr>
          <w:rFonts w:hint="eastAsia" w:ascii="仿宋_GB2312" w:hAnsi="仿宋_GB2312" w:eastAsia="仿宋_GB2312" w:cs="仿宋_GB2312"/>
          <w:b w:val="0"/>
          <w:bCs/>
          <w:sz w:val="32"/>
          <w:szCs w:val="32"/>
        </w:rPr>
        <w:t>卫生健康</w:t>
      </w:r>
      <w:r>
        <w:rPr>
          <w:rFonts w:hint="eastAsia" w:ascii="仿宋_GB2312" w:hAnsi="仿宋_GB2312" w:eastAsia="仿宋_GB2312" w:cs="仿宋_GB2312"/>
          <w:b w:val="0"/>
          <w:bCs/>
          <w:sz w:val="32"/>
          <w:szCs w:val="32"/>
          <w:lang w:eastAsia="zh-CN"/>
        </w:rPr>
        <w:t>等</w:t>
      </w:r>
      <w:r>
        <w:rPr>
          <w:rFonts w:hint="eastAsia" w:ascii="仿宋_GB2312" w:hAnsi="仿宋_GB2312" w:eastAsia="仿宋_GB2312" w:cs="仿宋_GB2312"/>
          <w:b w:val="0"/>
          <w:bCs/>
          <w:sz w:val="32"/>
          <w:szCs w:val="32"/>
        </w:rPr>
        <w:t>部门依法组织开展事件评估，初步判定是否为疫苗安全事件，并核定事件级别，将相关情况报同级</w:t>
      </w:r>
      <w:r>
        <w:rPr>
          <w:rFonts w:hint="eastAsia" w:ascii="仿宋_GB2312" w:hAnsi="仿宋_GB2312" w:eastAsia="仿宋_GB2312" w:cs="仿宋_GB2312"/>
          <w:b w:val="0"/>
          <w:bCs/>
          <w:sz w:val="32"/>
          <w:szCs w:val="32"/>
          <w:lang w:eastAsia="zh-CN"/>
        </w:rPr>
        <w:t>政府</w:t>
      </w:r>
      <w:r>
        <w:rPr>
          <w:rFonts w:hint="eastAsia" w:ascii="仿宋_GB2312" w:hAnsi="仿宋_GB2312" w:eastAsia="仿宋_GB2312" w:cs="仿宋_GB2312"/>
          <w:b w:val="0"/>
          <w:bCs/>
          <w:sz w:val="32"/>
          <w:szCs w:val="32"/>
        </w:rPr>
        <w:t>，</w:t>
      </w:r>
      <w:r>
        <w:rPr>
          <w:rFonts w:hint="eastAsia" w:ascii="仿宋_GB2312" w:hAnsi="仿宋_GB2312" w:eastAsia="仿宋_GB2312" w:cs="仿宋_GB2312"/>
          <w:b w:val="0"/>
          <w:bCs/>
          <w:sz w:val="32"/>
          <w:szCs w:val="32"/>
          <w:lang w:eastAsia="zh-CN"/>
        </w:rPr>
        <w:t>并</w:t>
      </w:r>
      <w:r>
        <w:rPr>
          <w:rFonts w:hint="eastAsia" w:ascii="仿宋_GB2312" w:hAnsi="仿宋_GB2312" w:eastAsia="仿宋_GB2312" w:cs="仿宋_GB2312"/>
          <w:b w:val="0"/>
          <w:bCs/>
          <w:sz w:val="32"/>
          <w:szCs w:val="32"/>
        </w:rPr>
        <w:t>提出启动应急响应建议。评估内容主要包括：</w:t>
      </w:r>
    </w:p>
    <w:p>
      <w:pPr>
        <w:pStyle w:val="7"/>
        <w:keepNext w:val="0"/>
        <w:keepLines w:val="0"/>
        <w:pageBreakBefore w:val="0"/>
        <w:kinsoku/>
        <w:wordWrap/>
        <w:overflowPunct/>
        <w:topLinePunct w:val="0"/>
        <w:autoSpaceDE/>
        <w:autoSpaceDN/>
        <w:bidi w:val="0"/>
        <w:adjustRightInd/>
        <w:snapToGrid/>
        <w:spacing w:beforeAutospacing="0" w:afterAutospacing="0" w:line="576" w:lineRule="exact"/>
        <w:ind w:firstLine="640" w:firstLineChars="2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（1）可能导致的健康危害及涉及范围，是否已造成健康危害后果及严重程度；</w:t>
      </w:r>
    </w:p>
    <w:p>
      <w:pPr>
        <w:pStyle w:val="7"/>
        <w:keepNext w:val="0"/>
        <w:keepLines w:val="0"/>
        <w:pageBreakBefore w:val="0"/>
        <w:kinsoku/>
        <w:wordWrap/>
        <w:overflowPunct/>
        <w:topLinePunct w:val="0"/>
        <w:autoSpaceDE/>
        <w:autoSpaceDN/>
        <w:bidi w:val="0"/>
        <w:adjustRightInd/>
        <w:snapToGrid/>
        <w:spacing w:beforeAutospacing="0" w:afterAutospacing="0" w:line="576" w:lineRule="exact"/>
        <w:ind w:firstLine="640" w:firstLineChars="2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（2）事件影响范围及严重程度；</w:t>
      </w:r>
    </w:p>
    <w:p>
      <w:pPr>
        <w:pStyle w:val="7"/>
        <w:keepNext w:val="0"/>
        <w:keepLines w:val="0"/>
        <w:pageBreakBefore w:val="0"/>
        <w:kinsoku/>
        <w:wordWrap/>
        <w:overflowPunct/>
        <w:topLinePunct w:val="0"/>
        <w:autoSpaceDE/>
        <w:autoSpaceDN/>
        <w:bidi w:val="0"/>
        <w:adjustRightInd/>
        <w:snapToGrid/>
        <w:spacing w:beforeAutospacing="0" w:afterAutospacing="0" w:line="576" w:lineRule="exact"/>
        <w:ind w:firstLine="640" w:firstLineChars="2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（3）事件发展蔓延趋势。</w:t>
      </w:r>
    </w:p>
    <w:p>
      <w:pPr>
        <w:pStyle w:val="7"/>
        <w:keepNext w:val="0"/>
        <w:keepLines w:val="0"/>
        <w:pageBreakBefore w:val="0"/>
        <w:kinsoku/>
        <w:wordWrap/>
        <w:overflowPunct/>
        <w:topLinePunct w:val="0"/>
        <w:autoSpaceDE/>
        <w:autoSpaceDN/>
        <w:bidi w:val="0"/>
        <w:adjustRightInd/>
        <w:snapToGrid/>
        <w:spacing w:beforeAutospacing="0" w:afterAutospacing="0" w:line="576" w:lineRule="exact"/>
        <w:ind w:firstLine="640" w:firstLineChars="200"/>
        <w:jc w:val="both"/>
        <w:textAlignment w:val="auto"/>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b w:val="0"/>
          <w:bCs/>
          <w:sz w:val="32"/>
          <w:szCs w:val="32"/>
          <w:lang w:val="en-US" w:eastAsia="zh-CN"/>
        </w:rPr>
        <w:t>3.5</w:t>
      </w:r>
      <w:r>
        <w:rPr>
          <w:rFonts w:hint="eastAsia" w:ascii="楷体_GB2312" w:hAnsi="楷体_GB2312" w:eastAsia="楷体_GB2312" w:cs="楷体_GB2312"/>
          <w:kern w:val="2"/>
          <w:sz w:val="32"/>
          <w:szCs w:val="32"/>
          <w:lang w:val="en-US" w:eastAsia="zh-CN" w:bidi="ar-SA"/>
        </w:rPr>
        <w:t>先期处置</w:t>
      </w:r>
    </w:p>
    <w:p>
      <w:pPr>
        <w:pStyle w:val="7"/>
        <w:keepNext w:val="0"/>
        <w:keepLines w:val="0"/>
        <w:pageBreakBefore w:val="0"/>
        <w:kinsoku/>
        <w:wordWrap/>
        <w:overflowPunct/>
        <w:topLinePunct w:val="0"/>
        <w:autoSpaceDE/>
        <w:autoSpaceDN/>
        <w:bidi w:val="0"/>
        <w:adjustRightInd/>
        <w:snapToGrid/>
        <w:spacing w:beforeAutospacing="0" w:afterAutospacing="0" w:line="576" w:lineRule="exact"/>
        <w:ind w:firstLine="640" w:firstLineChars="200"/>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疫苗安全事件发生后，事发地市场监管部门应当立即组织、协调卫生健康部门及疾病预防控制机构、接种单位，对涉及的疫苗产品采取紧急控制措施，并及时向当地政府和上级市场监管局和省药监局报告事件情况。市场监管部门在接到事件报告、组织风险会商研判后，根据情况先期在信息共享、分析研判、事件跟踪、风险控制、调查处置、舆论引导等方面开展工作。</w:t>
      </w:r>
    </w:p>
    <w:p>
      <w:pPr>
        <w:pStyle w:val="7"/>
        <w:keepNext w:val="0"/>
        <w:keepLines w:val="0"/>
        <w:pageBreakBefore w:val="0"/>
        <w:kinsoku/>
        <w:wordWrap/>
        <w:overflowPunct/>
        <w:topLinePunct w:val="0"/>
        <w:autoSpaceDE/>
        <w:autoSpaceDN/>
        <w:bidi w:val="0"/>
        <w:adjustRightInd/>
        <w:snapToGrid/>
        <w:spacing w:beforeAutospacing="0" w:afterAutospacing="0" w:line="576" w:lineRule="exact"/>
        <w:ind w:firstLine="627" w:firstLineChars="196"/>
        <w:jc w:val="both"/>
        <w:textAlignment w:val="auto"/>
        <w:rPr>
          <w:rFonts w:hint="eastAsia" w:ascii="黑体" w:hAnsi="黑体" w:eastAsia="黑体" w:cs="黑体"/>
          <w:b w:val="0"/>
          <w:bCs/>
          <w:kern w:val="2"/>
          <w:sz w:val="32"/>
          <w:szCs w:val="32"/>
        </w:rPr>
      </w:pPr>
      <w:r>
        <w:rPr>
          <w:rFonts w:hint="eastAsia" w:ascii="黑体" w:hAnsi="黑体" w:eastAsia="黑体" w:cs="黑体"/>
          <w:b w:val="0"/>
          <w:bCs/>
          <w:kern w:val="2"/>
          <w:sz w:val="32"/>
          <w:szCs w:val="32"/>
        </w:rPr>
        <w:t>4</w:t>
      </w:r>
      <w:r>
        <w:rPr>
          <w:rFonts w:hint="eastAsia" w:ascii="黑体" w:hAnsi="黑体" w:eastAsia="黑体" w:cs="黑体"/>
          <w:b w:val="0"/>
          <w:bCs/>
          <w:kern w:val="2"/>
          <w:sz w:val="32"/>
          <w:szCs w:val="32"/>
          <w:lang w:val="en-US" w:eastAsia="zh-CN"/>
        </w:rPr>
        <w:t>.</w:t>
      </w:r>
      <w:r>
        <w:rPr>
          <w:rFonts w:hint="eastAsia" w:ascii="黑体" w:hAnsi="黑体" w:eastAsia="黑体" w:cs="黑体"/>
          <w:b w:val="0"/>
          <w:bCs/>
          <w:kern w:val="2"/>
          <w:sz w:val="32"/>
          <w:szCs w:val="32"/>
        </w:rPr>
        <w:t>分级响应</w:t>
      </w:r>
    </w:p>
    <w:p>
      <w:pPr>
        <w:pStyle w:val="7"/>
        <w:keepNext w:val="0"/>
        <w:keepLines w:val="0"/>
        <w:pageBreakBefore w:val="0"/>
        <w:kinsoku/>
        <w:wordWrap/>
        <w:overflowPunct/>
        <w:topLinePunct w:val="0"/>
        <w:autoSpaceDE/>
        <w:autoSpaceDN/>
        <w:bidi w:val="0"/>
        <w:adjustRightInd/>
        <w:snapToGrid/>
        <w:spacing w:beforeAutospacing="0" w:afterAutospacing="0" w:line="576" w:lineRule="exact"/>
        <w:ind w:firstLine="640" w:firstLineChars="2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根据发生的疫苗安全事件的严重程度和发展态势，将应急响应设定为Ⅰ级、Ⅱ级、Ⅲ级和Ⅳ级四个等级。</w:t>
      </w:r>
    </w:p>
    <w:p>
      <w:pPr>
        <w:pStyle w:val="7"/>
        <w:keepNext w:val="0"/>
        <w:keepLines w:val="0"/>
        <w:pageBreakBefore w:val="0"/>
        <w:kinsoku/>
        <w:wordWrap/>
        <w:overflowPunct/>
        <w:topLinePunct w:val="0"/>
        <w:autoSpaceDE/>
        <w:autoSpaceDN/>
        <w:bidi w:val="0"/>
        <w:adjustRightInd/>
        <w:snapToGrid/>
        <w:spacing w:beforeAutospacing="0" w:afterAutospacing="0" w:line="576" w:lineRule="exact"/>
        <w:ind w:firstLine="640" w:firstLineChars="200"/>
        <w:jc w:val="both"/>
        <w:textAlignment w:val="auto"/>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b w:val="0"/>
          <w:bCs/>
          <w:sz w:val="32"/>
          <w:szCs w:val="32"/>
        </w:rPr>
        <w:t>4.1</w:t>
      </w:r>
      <w:r>
        <w:rPr>
          <w:rFonts w:hint="eastAsia" w:ascii="楷体_GB2312" w:hAnsi="楷体_GB2312" w:eastAsia="楷体_GB2312" w:cs="楷体_GB2312"/>
          <w:b w:val="0"/>
          <w:bCs/>
          <w:sz w:val="32"/>
          <w:szCs w:val="32"/>
          <w:lang w:val="en-US" w:eastAsia="zh-CN"/>
        </w:rPr>
        <w:t xml:space="preserve"> </w:t>
      </w:r>
      <w:r>
        <w:rPr>
          <w:rFonts w:hint="eastAsia" w:ascii="楷体_GB2312" w:hAnsi="楷体_GB2312" w:eastAsia="楷体_GB2312" w:cs="楷体_GB2312"/>
          <w:kern w:val="2"/>
          <w:sz w:val="32"/>
          <w:szCs w:val="32"/>
          <w:lang w:val="en-US" w:eastAsia="zh-CN" w:bidi="ar-SA"/>
        </w:rPr>
        <w:t>I级、Ⅱ级、Ⅲ级、Ⅳ级响应</w:t>
      </w:r>
    </w:p>
    <w:p>
      <w:pPr>
        <w:pStyle w:val="7"/>
        <w:keepNext w:val="0"/>
        <w:keepLines w:val="0"/>
        <w:pageBreakBefore w:val="0"/>
        <w:kinsoku/>
        <w:wordWrap/>
        <w:overflowPunct/>
        <w:topLinePunct w:val="0"/>
        <w:autoSpaceDE/>
        <w:autoSpaceDN/>
        <w:bidi w:val="0"/>
        <w:adjustRightInd/>
        <w:snapToGrid/>
        <w:spacing w:beforeAutospacing="0" w:afterAutospacing="0" w:line="576" w:lineRule="exact"/>
        <w:ind w:firstLine="624" w:firstLineChars="200"/>
        <w:jc w:val="both"/>
        <w:textAlignment w:val="auto"/>
        <w:rPr>
          <w:rFonts w:hint="eastAsia" w:ascii="仿宋_GB2312" w:hAnsi="仿宋_GB2312" w:eastAsia="仿宋_GB2312" w:cs="仿宋_GB2312"/>
          <w:b w:val="0"/>
          <w:bCs/>
          <w:spacing w:val="-4"/>
          <w:sz w:val="32"/>
          <w:szCs w:val="32"/>
        </w:rPr>
      </w:pPr>
      <w:r>
        <w:rPr>
          <w:rFonts w:hint="eastAsia" w:ascii="仿宋_GB2312" w:hAnsi="仿宋_GB2312" w:eastAsia="仿宋_GB2312" w:cs="仿宋_GB2312"/>
          <w:b w:val="0"/>
          <w:bCs/>
          <w:spacing w:val="-4"/>
          <w:sz w:val="32"/>
          <w:szCs w:val="32"/>
        </w:rPr>
        <w:t>发生特别重大、重大、较大</w:t>
      </w:r>
      <w:r>
        <w:rPr>
          <w:rFonts w:hint="eastAsia" w:ascii="仿宋_GB2312" w:hAnsi="仿宋_GB2312" w:eastAsia="仿宋_GB2312" w:cs="仿宋_GB2312"/>
          <w:b w:val="0"/>
          <w:bCs/>
          <w:spacing w:val="-4"/>
          <w:sz w:val="32"/>
          <w:szCs w:val="32"/>
          <w:lang w:eastAsia="zh-CN"/>
        </w:rPr>
        <w:t>、一般</w:t>
      </w:r>
      <w:r>
        <w:rPr>
          <w:rFonts w:hint="eastAsia" w:ascii="仿宋_GB2312" w:hAnsi="仿宋_GB2312" w:eastAsia="仿宋_GB2312" w:cs="仿宋_GB2312"/>
          <w:b w:val="0"/>
          <w:bCs/>
          <w:spacing w:val="-4"/>
          <w:sz w:val="32"/>
          <w:szCs w:val="32"/>
        </w:rPr>
        <w:t>疫苗安全事件时，分别按照国务院</w:t>
      </w:r>
      <w:r>
        <w:rPr>
          <w:rFonts w:hint="eastAsia" w:ascii="仿宋_GB2312" w:hAnsi="仿宋_GB2312" w:eastAsia="仿宋_GB2312" w:cs="仿宋_GB2312"/>
          <w:b w:val="0"/>
          <w:bCs/>
          <w:spacing w:val="-4"/>
          <w:sz w:val="32"/>
          <w:szCs w:val="32"/>
          <w:lang w:eastAsia="zh-CN"/>
        </w:rPr>
        <w:t>及国家</w:t>
      </w:r>
      <w:r>
        <w:rPr>
          <w:rFonts w:hint="eastAsia" w:ascii="仿宋_GB2312" w:hAnsi="仿宋_GB2312" w:eastAsia="仿宋_GB2312" w:cs="仿宋_GB2312"/>
          <w:b w:val="0"/>
          <w:bCs/>
          <w:spacing w:val="-4"/>
          <w:sz w:val="32"/>
          <w:szCs w:val="32"/>
        </w:rPr>
        <w:t>疫苗管理部际联席会议、国家药监局、省药监局</w:t>
      </w:r>
      <w:r>
        <w:rPr>
          <w:rFonts w:hint="eastAsia" w:ascii="仿宋_GB2312" w:hAnsi="仿宋_GB2312" w:eastAsia="仿宋_GB2312" w:cs="仿宋_GB2312"/>
          <w:b w:val="0"/>
          <w:bCs/>
          <w:spacing w:val="-4"/>
          <w:sz w:val="32"/>
          <w:szCs w:val="32"/>
          <w:lang w:eastAsia="zh-CN"/>
        </w:rPr>
        <w:t>、聊城市市场监督管理局</w:t>
      </w:r>
      <w:r>
        <w:rPr>
          <w:rFonts w:hint="eastAsia" w:ascii="仿宋_GB2312" w:hAnsi="仿宋_GB2312" w:eastAsia="仿宋_GB2312" w:cs="仿宋_GB2312"/>
          <w:b w:val="0"/>
          <w:bCs/>
          <w:spacing w:val="-4"/>
          <w:sz w:val="32"/>
          <w:szCs w:val="32"/>
        </w:rPr>
        <w:t>作出的</w:t>
      </w:r>
      <w:r>
        <w:rPr>
          <w:rFonts w:hint="eastAsia" w:ascii="仿宋_GB2312" w:hAnsi="仿宋_GB2312" w:eastAsia="仿宋_GB2312" w:cs="仿宋_GB2312"/>
          <w:b w:val="0"/>
          <w:bCs/>
          <w:spacing w:val="-4"/>
          <w:sz w:val="32"/>
          <w:szCs w:val="32"/>
          <w:lang w:eastAsia="zh-CN"/>
        </w:rPr>
        <w:t>部署要求</w:t>
      </w:r>
      <w:r>
        <w:rPr>
          <w:rFonts w:hint="eastAsia" w:ascii="仿宋_GB2312" w:hAnsi="仿宋_GB2312" w:eastAsia="仿宋_GB2312" w:cs="仿宋_GB2312"/>
          <w:b w:val="0"/>
          <w:bCs/>
          <w:spacing w:val="-4"/>
          <w:sz w:val="32"/>
          <w:szCs w:val="32"/>
        </w:rPr>
        <w:t>，启动</w:t>
      </w:r>
      <w:r>
        <w:rPr>
          <w:rFonts w:hint="eastAsia" w:ascii="仿宋_GB2312" w:hAnsi="仿宋_GB2312" w:eastAsia="仿宋_GB2312" w:cs="仿宋_GB2312"/>
          <w:b w:val="0"/>
          <w:bCs/>
          <w:spacing w:val="-4"/>
          <w:sz w:val="32"/>
          <w:szCs w:val="32"/>
          <w:lang w:eastAsia="zh-CN"/>
        </w:rPr>
        <w:t>疫苗安全事件</w:t>
      </w:r>
      <w:r>
        <w:rPr>
          <w:rFonts w:hint="eastAsia" w:ascii="仿宋_GB2312" w:hAnsi="仿宋_GB2312" w:eastAsia="仿宋_GB2312" w:cs="仿宋_GB2312"/>
          <w:b w:val="0"/>
          <w:bCs/>
          <w:spacing w:val="-4"/>
          <w:sz w:val="32"/>
          <w:szCs w:val="32"/>
        </w:rPr>
        <w:t>Ⅰ级、Ⅱ级、Ⅲ级</w:t>
      </w:r>
      <w:r>
        <w:rPr>
          <w:rFonts w:hint="eastAsia" w:ascii="仿宋_GB2312" w:hAnsi="仿宋_GB2312" w:eastAsia="仿宋_GB2312" w:cs="仿宋_GB2312"/>
          <w:b w:val="0"/>
          <w:bCs/>
          <w:spacing w:val="-4"/>
          <w:sz w:val="32"/>
          <w:szCs w:val="32"/>
          <w:lang w:eastAsia="zh-CN"/>
        </w:rPr>
        <w:t>、</w:t>
      </w:r>
      <w:r>
        <w:rPr>
          <w:rFonts w:hint="eastAsia" w:ascii="仿宋_GB2312" w:hAnsi="仿宋_GB2312" w:eastAsia="仿宋_GB2312" w:cs="仿宋_GB2312"/>
          <w:b w:val="0"/>
          <w:bCs/>
          <w:sz w:val="32"/>
          <w:szCs w:val="32"/>
        </w:rPr>
        <w:t>Ⅳ级</w:t>
      </w:r>
      <w:r>
        <w:rPr>
          <w:rFonts w:hint="eastAsia" w:ascii="仿宋_GB2312" w:hAnsi="仿宋_GB2312" w:eastAsia="仿宋_GB2312" w:cs="仿宋_GB2312"/>
          <w:b w:val="0"/>
          <w:bCs/>
          <w:spacing w:val="-4"/>
          <w:sz w:val="32"/>
          <w:szCs w:val="32"/>
        </w:rPr>
        <w:t>应急响应，</w:t>
      </w:r>
      <w:r>
        <w:rPr>
          <w:rFonts w:hint="eastAsia" w:ascii="仿宋_GB2312" w:hAnsi="仿宋_GB2312" w:eastAsia="仿宋_GB2312" w:cs="仿宋_GB2312"/>
          <w:b w:val="0"/>
          <w:bCs/>
          <w:spacing w:val="-4"/>
          <w:sz w:val="32"/>
          <w:szCs w:val="32"/>
          <w:lang w:eastAsia="zh-CN"/>
        </w:rPr>
        <w:t>区应急</w:t>
      </w:r>
      <w:r>
        <w:rPr>
          <w:rFonts w:hint="eastAsia" w:ascii="仿宋_GB2312" w:hAnsi="仿宋_GB2312" w:eastAsia="仿宋_GB2312" w:cs="仿宋_GB2312"/>
          <w:b w:val="0"/>
          <w:bCs/>
          <w:spacing w:val="-4"/>
          <w:sz w:val="32"/>
          <w:szCs w:val="32"/>
        </w:rPr>
        <w:t>指挥部按照国家、省</w:t>
      </w:r>
      <w:r>
        <w:rPr>
          <w:rFonts w:hint="eastAsia" w:ascii="仿宋_GB2312" w:hAnsi="仿宋_GB2312" w:eastAsia="仿宋_GB2312" w:cs="仿宋_GB2312"/>
          <w:b w:val="0"/>
          <w:bCs/>
          <w:spacing w:val="-4"/>
          <w:sz w:val="32"/>
          <w:szCs w:val="32"/>
          <w:lang w:eastAsia="zh-CN"/>
        </w:rPr>
        <w:t>、市</w:t>
      </w:r>
      <w:r>
        <w:rPr>
          <w:rFonts w:hint="eastAsia" w:ascii="仿宋_GB2312" w:hAnsi="仿宋_GB2312" w:eastAsia="仿宋_GB2312" w:cs="仿宋_GB2312"/>
          <w:b w:val="0"/>
          <w:bCs/>
          <w:spacing w:val="-4"/>
          <w:sz w:val="32"/>
          <w:szCs w:val="32"/>
        </w:rPr>
        <w:t>应急</w:t>
      </w:r>
      <w:r>
        <w:rPr>
          <w:rFonts w:hint="eastAsia" w:ascii="仿宋_GB2312" w:hAnsi="仿宋_GB2312" w:eastAsia="仿宋_GB2312" w:cs="仿宋_GB2312"/>
          <w:b w:val="0"/>
          <w:bCs/>
          <w:spacing w:val="-4"/>
          <w:sz w:val="32"/>
          <w:szCs w:val="32"/>
          <w:lang w:eastAsia="zh-CN"/>
        </w:rPr>
        <w:t>指挥部</w:t>
      </w:r>
      <w:r>
        <w:rPr>
          <w:rFonts w:hint="eastAsia" w:ascii="仿宋_GB2312" w:hAnsi="仿宋_GB2312" w:eastAsia="仿宋_GB2312" w:cs="仿宋_GB2312"/>
          <w:b w:val="0"/>
          <w:bCs/>
          <w:spacing w:val="-4"/>
          <w:sz w:val="32"/>
          <w:szCs w:val="32"/>
        </w:rPr>
        <w:t>的统一指挥和工作程序开展处置工作</w:t>
      </w:r>
      <w:r>
        <w:rPr>
          <w:rFonts w:hint="eastAsia" w:ascii="仿宋_GB2312" w:hAnsi="仿宋_GB2312" w:eastAsia="仿宋_GB2312" w:cs="仿宋_GB2312"/>
          <w:b w:val="0"/>
          <w:bCs/>
          <w:spacing w:val="-4"/>
          <w:sz w:val="32"/>
          <w:szCs w:val="32"/>
          <w:lang w:eastAsia="zh-CN"/>
        </w:rPr>
        <w:t>，依法对本行政区域内的涉事疫苗采取紧急控制措施；卫生健康部门组织开展医疗救治工作</w:t>
      </w:r>
      <w:r>
        <w:rPr>
          <w:rFonts w:hint="eastAsia" w:ascii="仿宋_GB2312" w:hAnsi="仿宋_GB2312" w:eastAsia="仿宋_GB2312" w:cs="仿宋_GB2312"/>
          <w:b w:val="0"/>
          <w:bCs/>
          <w:spacing w:val="-4"/>
          <w:sz w:val="32"/>
          <w:szCs w:val="32"/>
        </w:rPr>
        <w:t>。</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4.</w:t>
      </w:r>
      <w:r>
        <w:rPr>
          <w:rFonts w:hint="eastAsia" w:ascii="楷体_GB2312" w:hAnsi="楷体_GB2312" w:eastAsia="楷体_GB2312" w:cs="楷体_GB2312"/>
          <w:b w:val="0"/>
          <w:bCs/>
          <w:sz w:val="32"/>
          <w:szCs w:val="32"/>
          <w:highlight w:val="none"/>
          <w:lang w:val="en-US" w:eastAsia="zh-CN"/>
        </w:rPr>
        <w:t>2</w:t>
      </w:r>
      <w:r>
        <w:rPr>
          <w:rFonts w:hint="eastAsia" w:ascii="楷体_GB2312" w:hAnsi="楷体_GB2312" w:eastAsia="楷体_GB2312" w:cs="楷体_GB2312"/>
          <w:kern w:val="2"/>
          <w:sz w:val="32"/>
          <w:szCs w:val="32"/>
          <w:highlight w:val="none"/>
          <w:lang w:val="en-US" w:eastAsia="zh-CN" w:bidi="ar-SA"/>
        </w:rPr>
        <w:t>响应措施</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highlight w:val="none"/>
          <w:lang w:eastAsia="zh-CN"/>
        </w:rPr>
      </w:pPr>
      <w:r>
        <w:rPr>
          <w:rFonts w:hint="eastAsia" w:ascii="仿宋_GB2312" w:hAnsi="仿宋_GB2312" w:eastAsia="仿宋_GB2312" w:cs="仿宋_GB2312"/>
          <w:b w:val="0"/>
          <w:bCs/>
          <w:sz w:val="32"/>
          <w:szCs w:val="32"/>
          <w:highlight w:val="none"/>
        </w:rPr>
        <w:t>4.</w:t>
      </w:r>
      <w:r>
        <w:rPr>
          <w:rFonts w:hint="eastAsia" w:ascii="仿宋_GB2312" w:hAnsi="仿宋_GB2312" w:eastAsia="仿宋_GB2312" w:cs="仿宋_GB2312"/>
          <w:b w:val="0"/>
          <w:bCs/>
          <w:sz w:val="32"/>
          <w:szCs w:val="32"/>
          <w:highlight w:val="none"/>
          <w:lang w:val="en-US" w:eastAsia="zh-CN"/>
        </w:rPr>
        <w:t>2</w:t>
      </w:r>
      <w:r>
        <w:rPr>
          <w:rFonts w:hint="eastAsia" w:ascii="仿宋_GB2312" w:hAnsi="仿宋_GB2312" w:eastAsia="仿宋_GB2312" w:cs="仿宋_GB2312"/>
          <w:b w:val="0"/>
          <w:bCs/>
          <w:sz w:val="32"/>
          <w:szCs w:val="32"/>
          <w:highlight w:val="none"/>
        </w:rPr>
        <w:t>.1</w:t>
      </w:r>
      <w:r>
        <w:rPr>
          <w:rFonts w:hint="eastAsia" w:ascii="仿宋_GB2312" w:hAnsi="仿宋_GB2312" w:eastAsia="仿宋_GB2312" w:cs="仿宋_GB2312"/>
          <w:b w:val="0"/>
          <w:bCs/>
          <w:sz w:val="32"/>
          <w:szCs w:val="32"/>
          <w:highlight w:val="none"/>
          <w:lang w:eastAsia="zh-CN"/>
        </w:rPr>
        <w:t>区</w:t>
      </w:r>
      <w:r>
        <w:rPr>
          <w:rFonts w:hint="eastAsia" w:ascii="仿宋_GB2312" w:hAnsi="仿宋_GB2312" w:eastAsia="仿宋_GB2312" w:cs="仿宋_GB2312"/>
          <w:b w:val="0"/>
          <w:bCs/>
          <w:sz w:val="32"/>
          <w:szCs w:val="32"/>
          <w:highlight w:val="none"/>
        </w:rPr>
        <w:t>指挥部及时将有关</w:t>
      </w:r>
      <w:r>
        <w:rPr>
          <w:rFonts w:hint="eastAsia" w:ascii="仿宋_GB2312" w:hAnsi="仿宋_GB2312" w:eastAsia="仿宋_GB2312" w:cs="仿宋_GB2312"/>
          <w:b w:val="0"/>
          <w:bCs/>
          <w:sz w:val="32"/>
          <w:szCs w:val="32"/>
          <w:highlight w:val="none"/>
          <w:lang w:eastAsia="zh-CN"/>
        </w:rPr>
        <w:t>工作进展</w:t>
      </w:r>
      <w:r>
        <w:rPr>
          <w:rFonts w:hint="eastAsia" w:ascii="仿宋_GB2312" w:hAnsi="仿宋_GB2312" w:eastAsia="仿宋_GB2312" w:cs="仿宋_GB2312"/>
          <w:b w:val="0"/>
          <w:bCs/>
          <w:sz w:val="32"/>
          <w:szCs w:val="32"/>
          <w:highlight w:val="none"/>
        </w:rPr>
        <w:t>情况报告</w:t>
      </w:r>
      <w:r>
        <w:rPr>
          <w:rFonts w:hint="eastAsia" w:ascii="仿宋_GB2312" w:hAnsi="仿宋_GB2312" w:eastAsia="仿宋_GB2312" w:cs="仿宋_GB2312"/>
          <w:b w:val="0"/>
          <w:bCs/>
          <w:sz w:val="32"/>
          <w:szCs w:val="32"/>
          <w:highlight w:val="none"/>
          <w:lang w:eastAsia="zh-CN"/>
        </w:rPr>
        <w:t>开发区管委会</w:t>
      </w:r>
      <w:r>
        <w:rPr>
          <w:rFonts w:hint="eastAsia" w:ascii="仿宋_GB2312" w:hAnsi="仿宋_GB2312" w:eastAsia="仿宋_GB2312" w:cs="仿宋_GB2312"/>
          <w:b w:val="0"/>
          <w:bCs/>
          <w:sz w:val="32"/>
          <w:szCs w:val="32"/>
          <w:highlight w:val="none"/>
        </w:rPr>
        <w:t>、</w:t>
      </w:r>
      <w:r>
        <w:rPr>
          <w:rFonts w:hint="eastAsia" w:ascii="仿宋_GB2312" w:hAnsi="仿宋_GB2312" w:eastAsia="仿宋_GB2312" w:cs="仿宋_GB2312"/>
          <w:b w:val="0"/>
          <w:bCs/>
          <w:sz w:val="32"/>
          <w:szCs w:val="32"/>
          <w:highlight w:val="none"/>
          <w:lang w:eastAsia="zh-CN"/>
        </w:rPr>
        <w:t>市</w:t>
      </w:r>
      <w:r>
        <w:rPr>
          <w:rFonts w:hint="eastAsia" w:ascii="仿宋_GB2312" w:hAnsi="仿宋_GB2312" w:eastAsia="仿宋_GB2312" w:cs="仿宋_GB2312"/>
          <w:b w:val="0"/>
          <w:bCs/>
          <w:sz w:val="32"/>
          <w:szCs w:val="32"/>
          <w:highlight w:val="none"/>
        </w:rPr>
        <w:t>级</w:t>
      </w:r>
      <w:r>
        <w:rPr>
          <w:rFonts w:hint="eastAsia" w:ascii="仿宋_GB2312" w:hAnsi="仿宋_GB2312" w:eastAsia="仿宋_GB2312" w:cs="仿宋_GB2312"/>
          <w:b w:val="0"/>
          <w:bCs/>
          <w:sz w:val="32"/>
          <w:szCs w:val="32"/>
          <w:highlight w:val="none"/>
          <w:lang w:eastAsia="zh-CN"/>
        </w:rPr>
        <w:t>市场监管、</w:t>
      </w:r>
      <w:r>
        <w:rPr>
          <w:rFonts w:hint="eastAsia" w:ascii="仿宋_GB2312" w:hAnsi="仿宋_GB2312" w:eastAsia="仿宋_GB2312" w:cs="仿宋_GB2312"/>
          <w:b w:val="0"/>
          <w:bCs/>
          <w:sz w:val="32"/>
          <w:szCs w:val="32"/>
          <w:highlight w:val="none"/>
        </w:rPr>
        <w:t>卫生健康部门，并及时续报有关情况。</w:t>
      </w:r>
      <w:r>
        <w:rPr>
          <w:rFonts w:hint="eastAsia" w:ascii="仿宋_GB2312" w:hAnsi="仿宋_GB2312" w:eastAsia="仿宋_GB2312" w:cs="仿宋_GB2312"/>
          <w:b w:val="0"/>
          <w:bCs/>
          <w:sz w:val="32"/>
          <w:szCs w:val="32"/>
          <w:highlight w:val="none"/>
          <w:lang w:eastAsia="zh-CN"/>
        </w:rPr>
        <w:t>特殊或重要情况随时上报。</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rPr>
        <w:t>4.</w:t>
      </w:r>
      <w:r>
        <w:rPr>
          <w:rFonts w:hint="eastAsia" w:ascii="仿宋_GB2312" w:hAnsi="仿宋_GB2312" w:eastAsia="仿宋_GB2312" w:cs="仿宋_GB2312"/>
          <w:b w:val="0"/>
          <w:bCs/>
          <w:sz w:val="32"/>
          <w:szCs w:val="32"/>
          <w:highlight w:val="none"/>
          <w:lang w:val="en-US" w:eastAsia="zh-CN"/>
        </w:rPr>
        <w:t>2</w:t>
      </w:r>
      <w:r>
        <w:rPr>
          <w:rFonts w:hint="eastAsia" w:ascii="仿宋_GB2312" w:hAnsi="仿宋_GB2312" w:eastAsia="仿宋_GB2312" w:cs="仿宋_GB2312"/>
          <w:b w:val="0"/>
          <w:bCs/>
          <w:sz w:val="32"/>
          <w:szCs w:val="32"/>
          <w:highlight w:val="none"/>
        </w:rPr>
        <w:t>.</w:t>
      </w:r>
      <w:r>
        <w:rPr>
          <w:rFonts w:hint="eastAsia" w:ascii="仿宋_GB2312" w:hAnsi="仿宋_GB2312" w:eastAsia="仿宋_GB2312" w:cs="仿宋_GB2312"/>
          <w:b w:val="0"/>
          <w:bCs/>
          <w:sz w:val="32"/>
          <w:szCs w:val="32"/>
          <w:highlight w:val="none"/>
          <w:lang w:val="en"/>
        </w:rPr>
        <w:t>2</w:t>
      </w:r>
      <w:r>
        <w:rPr>
          <w:rFonts w:hint="eastAsia" w:ascii="仿宋_GB2312" w:hAnsi="仿宋_GB2312" w:eastAsia="仿宋_GB2312" w:cs="仿宋_GB2312"/>
          <w:b w:val="0"/>
          <w:bCs/>
          <w:sz w:val="32"/>
          <w:szCs w:val="32"/>
          <w:highlight w:val="none"/>
          <w:lang w:eastAsia="zh-CN"/>
        </w:rPr>
        <w:t>区</w:t>
      </w:r>
      <w:r>
        <w:rPr>
          <w:rFonts w:hint="eastAsia" w:ascii="仿宋_GB2312" w:hAnsi="仿宋_GB2312" w:eastAsia="仿宋_GB2312" w:cs="仿宋_GB2312"/>
          <w:b w:val="0"/>
          <w:bCs/>
          <w:sz w:val="32"/>
          <w:szCs w:val="32"/>
          <w:highlight w:val="none"/>
        </w:rPr>
        <w:t>指挥部召开会议，通报工作进展情况，研究部署应急处置工作重大事项。</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rPr>
        <w:t>4.</w:t>
      </w:r>
      <w:r>
        <w:rPr>
          <w:rFonts w:hint="eastAsia" w:ascii="仿宋_GB2312" w:hAnsi="仿宋_GB2312" w:eastAsia="仿宋_GB2312" w:cs="仿宋_GB2312"/>
          <w:b w:val="0"/>
          <w:bCs/>
          <w:sz w:val="32"/>
          <w:szCs w:val="32"/>
          <w:highlight w:val="none"/>
          <w:lang w:val="en-US" w:eastAsia="zh-CN"/>
        </w:rPr>
        <w:t>2</w:t>
      </w:r>
      <w:r>
        <w:rPr>
          <w:rFonts w:hint="eastAsia" w:ascii="仿宋_GB2312" w:hAnsi="仿宋_GB2312" w:eastAsia="仿宋_GB2312" w:cs="仿宋_GB2312"/>
          <w:b w:val="0"/>
          <w:bCs/>
          <w:sz w:val="32"/>
          <w:szCs w:val="32"/>
          <w:highlight w:val="none"/>
        </w:rPr>
        <w:t>.</w:t>
      </w:r>
      <w:r>
        <w:rPr>
          <w:rFonts w:hint="eastAsia" w:ascii="仿宋_GB2312" w:hAnsi="仿宋_GB2312" w:eastAsia="仿宋_GB2312" w:cs="仿宋_GB2312"/>
          <w:b w:val="0"/>
          <w:bCs/>
          <w:sz w:val="32"/>
          <w:szCs w:val="32"/>
          <w:highlight w:val="none"/>
          <w:lang w:val="en"/>
        </w:rPr>
        <w:t>3</w:t>
      </w:r>
      <w:r>
        <w:rPr>
          <w:rFonts w:hint="eastAsia" w:ascii="仿宋_GB2312" w:hAnsi="仿宋_GB2312" w:eastAsia="仿宋_GB2312" w:cs="仿宋_GB2312"/>
          <w:b w:val="0"/>
          <w:bCs/>
          <w:sz w:val="32"/>
          <w:szCs w:val="32"/>
          <w:highlight w:val="none"/>
        </w:rPr>
        <w:t>根据患者救治情况，医疗救治组协调派出医疗专家赶赴事发地指导医疗救治工作。 </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rPr>
        <w:t>4.</w:t>
      </w:r>
      <w:r>
        <w:rPr>
          <w:rFonts w:hint="eastAsia" w:ascii="仿宋_GB2312" w:hAnsi="仿宋_GB2312" w:eastAsia="仿宋_GB2312" w:cs="仿宋_GB2312"/>
          <w:b w:val="0"/>
          <w:bCs/>
          <w:sz w:val="32"/>
          <w:szCs w:val="32"/>
          <w:highlight w:val="none"/>
          <w:lang w:val="en-US" w:eastAsia="zh-CN"/>
        </w:rPr>
        <w:t>2</w:t>
      </w:r>
      <w:r>
        <w:rPr>
          <w:rFonts w:hint="eastAsia" w:ascii="仿宋_GB2312" w:hAnsi="仿宋_GB2312" w:eastAsia="仿宋_GB2312" w:cs="仿宋_GB2312"/>
          <w:b w:val="0"/>
          <w:bCs/>
          <w:sz w:val="32"/>
          <w:szCs w:val="32"/>
          <w:highlight w:val="none"/>
        </w:rPr>
        <w:t>.</w:t>
      </w:r>
      <w:r>
        <w:rPr>
          <w:rFonts w:hint="eastAsia" w:ascii="仿宋_GB2312" w:hAnsi="仿宋_GB2312" w:eastAsia="仿宋_GB2312" w:cs="仿宋_GB2312"/>
          <w:b w:val="0"/>
          <w:bCs/>
          <w:sz w:val="32"/>
          <w:szCs w:val="32"/>
          <w:highlight w:val="none"/>
          <w:lang w:val="en"/>
        </w:rPr>
        <w:t>4</w:t>
      </w:r>
      <w:r>
        <w:rPr>
          <w:rFonts w:hint="eastAsia" w:ascii="仿宋_GB2312" w:hAnsi="仿宋_GB2312" w:eastAsia="仿宋_GB2312" w:cs="仿宋_GB2312"/>
          <w:b w:val="0"/>
          <w:bCs/>
          <w:sz w:val="32"/>
          <w:szCs w:val="32"/>
          <w:highlight w:val="none"/>
        </w:rPr>
        <w:t>根据事件情况，派出事件调查组、专家组到事发地指导处置；</w:t>
      </w:r>
      <w:r>
        <w:rPr>
          <w:rFonts w:hint="eastAsia" w:ascii="仿宋_GB2312" w:hAnsi="仿宋_GB2312" w:eastAsia="仿宋_GB2312" w:cs="仿宋_GB2312"/>
          <w:b w:val="0"/>
          <w:bCs/>
          <w:sz w:val="32"/>
          <w:szCs w:val="32"/>
          <w:highlight w:val="none"/>
          <w:lang w:eastAsia="zh-CN"/>
        </w:rPr>
        <w:t>区</w:t>
      </w:r>
      <w:r>
        <w:rPr>
          <w:rFonts w:hint="eastAsia" w:ascii="仿宋_GB2312" w:hAnsi="仿宋_GB2312" w:eastAsia="仿宋_GB2312" w:cs="仿宋_GB2312"/>
          <w:b w:val="0"/>
          <w:bCs/>
          <w:sz w:val="32"/>
          <w:szCs w:val="32"/>
          <w:highlight w:val="none"/>
        </w:rPr>
        <w:t>指挥部负责人视情赶赴事发地现场指挥。 </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rPr>
        <w:t>4.</w:t>
      </w:r>
      <w:r>
        <w:rPr>
          <w:rFonts w:hint="eastAsia" w:ascii="仿宋_GB2312" w:hAnsi="仿宋_GB2312" w:eastAsia="仿宋_GB2312" w:cs="仿宋_GB2312"/>
          <w:b w:val="0"/>
          <w:bCs/>
          <w:sz w:val="32"/>
          <w:szCs w:val="32"/>
          <w:highlight w:val="none"/>
          <w:lang w:val="en-US" w:eastAsia="zh-CN"/>
        </w:rPr>
        <w:t>2</w:t>
      </w:r>
      <w:r>
        <w:rPr>
          <w:rFonts w:hint="eastAsia" w:ascii="仿宋_GB2312" w:hAnsi="仿宋_GB2312" w:eastAsia="仿宋_GB2312" w:cs="仿宋_GB2312"/>
          <w:b w:val="0"/>
          <w:bCs/>
          <w:sz w:val="32"/>
          <w:szCs w:val="32"/>
          <w:highlight w:val="none"/>
        </w:rPr>
        <w:t>.</w:t>
      </w:r>
      <w:r>
        <w:rPr>
          <w:rFonts w:hint="eastAsia" w:ascii="仿宋_GB2312" w:hAnsi="仿宋_GB2312" w:eastAsia="仿宋_GB2312" w:cs="仿宋_GB2312"/>
          <w:b w:val="0"/>
          <w:bCs/>
          <w:sz w:val="32"/>
          <w:szCs w:val="32"/>
          <w:highlight w:val="none"/>
          <w:lang w:val="en"/>
        </w:rPr>
        <w:t>5</w:t>
      </w:r>
      <w:r>
        <w:rPr>
          <w:rFonts w:hint="eastAsia" w:ascii="仿宋_GB2312" w:hAnsi="仿宋_GB2312" w:eastAsia="仿宋_GB2312" w:cs="仿宋_GB2312"/>
          <w:b w:val="0"/>
          <w:bCs/>
          <w:sz w:val="32"/>
          <w:szCs w:val="32"/>
          <w:highlight w:val="none"/>
        </w:rPr>
        <w:t>对事发地在我</w:t>
      </w:r>
      <w:r>
        <w:rPr>
          <w:rFonts w:hint="eastAsia" w:ascii="仿宋_GB2312" w:hAnsi="仿宋_GB2312" w:eastAsia="仿宋_GB2312" w:cs="仿宋_GB2312"/>
          <w:b w:val="0"/>
          <w:bCs/>
          <w:sz w:val="32"/>
          <w:szCs w:val="32"/>
          <w:highlight w:val="none"/>
          <w:lang w:eastAsia="zh-CN"/>
        </w:rPr>
        <w:t>区</w:t>
      </w:r>
      <w:r>
        <w:rPr>
          <w:rFonts w:hint="eastAsia" w:ascii="仿宋_GB2312" w:hAnsi="仿宋_GB2312" w:eastAsia="仿宋_GB2312" w:cs="仿宋_GB2312"/>
          <w:b w:val="0"/>
          <w:bCs/>
          <w:sz w:val="32"/>
          <w:szCs w:val="32"/>
          <w:highlight w:val="none"/>
        </w:rPr>
        <w:t>、涉事疫苗上市许可持有人在外地的，</w:t>
      </w:r>
      <w:r>
        <w:rPr>
          <w:rFonts w:hint="eastAsia" w:ascii="仿宋_GB2312" w:hAnsi="仿宋_GB2312" w:eastAsia="仿宋_GB2312" w:cs="仿宋_GB2312"/>
          <w:b w:val="0"/>
          <w:bCs/>
          <w:sz w:val="32"/>
          <w:szCs w:val="32"/>
          <w:highlight w:val="none"/>
          <w:lang w:eastAsia="zh-CN"/>
        </w:rPr>
        <w:t>区</w:t>
      </w:r>
      <w:r>
        <w:rPr>
          <w:rFonts w:hint="eastAsia" w:ascii="仿宋_GB2312" w:hAnsi="仿宋_GB2312" w:eastAsia="仿宋_GB2312" w:cs="仿宋_GB2312"/>
          <w:b w:val="0"/>
          <w:bCs/>
          <w:sz w:val="32"/>
          <w:szCs w:val="32"/>
          <w:highlight w:val="none"/>
        </w:rPr>
        <w:t>市场监管</w:t>
      </w:r>
      <w:r>
        <w:rPr>
          <w:rFonts w:hint="eastAsia" w:ascii="仿宋_GB2312" w:hAnsi="仿宋_GB2312" w:eastAsia="仿宋_GB2312" w:cs="仿宋_GB2312"/>
          <w:b w:val="0"/>
          <w:bCs/>
          <w:sz w:val="32"/>
          <w:szCs w:val="32"/>
          <w:highlight w:val="none"/>
          <w:lang w:eastAsia="zh-CN"/>
        </w:rPr>
        <w:t>部</w:t>
      </w:r>
      <w:r>
        <w:rPr>
          <w:rFonts w:hint="eastAsia" w:ascii="仿宋_GB2312" w:hAnsi="仿宋_GB2312" w:eastAsia="仿宋_GB2312" w:cs="仿宋_GB2312"/>
          <w:b w:val="0"/>
          <w:bCs/>
          <w:sz w:val="32"/>
          <w:szCs w:val="32"/>
          <w:highlight w:val="none"/>
        </w:rPr>
        <w:t>及时通报涉事疫苗上市许可持有人所在地的</w:t>
      </w:r>
      <w:r>
        <w:rPr>
          <w:rFonts w:hint="eastAsia" w:ascii="仿宋_GB2312" w:hAnsi="仿宋_GB2312" w:eastAsia="仿宋_GB2312" w:cs="仿宋_GB2312"/>
          <w:b w:val="0"/>
          <w:bCs/>
          <w:sz w:val="32"/>
          <w:szCs w:val="32"/>
          <w:highlight w:val="none"/>
          <w:lang w:eastAsia="zh-CN"/>
        </w:rPr>
        <w:t>市场</w:t>
      </w:r>
      <w:r>
        <w:rPr>
          <w:rFonts w:hint="eastAsia" w:ascii="仿宋_GB2312" w:hAnsi="仿宋_GB2312" w:eastAsia="仿宋_GB2312" w:cs="仿宋_GB2312"/>
          <w:b w:val="0"/>
          <w:bCs/>
          <w:sz w:val="32"/>
          <w:szCs w:val="32"/>
          <w:highlight w:val="none"/>
        </w:rPr>
        <w:t>监督管理部门并提出应急处置配合要求。</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rPr>
        <w:t>4.</w:t>
      </w:r>
      <w:r>
        <w:rPr>
          <w:rFonts w:hint="eastAsia" w:ascii="仿宋_GB2312" w:hAnsi="仿宋_GB2312" w:eastAsia="仿宋_GB2312" w:cs="仿宋_GB2312"/>
          <w:b w:val="0"/>
          <w:bCs/>
          <w:sz w:val="32"/>
          <w:szCs w:val="32"/>
          <w:highlight w:val="none"/>
          <w:lang w:val="en-US" w:eastAsia="zh-CN"/>
        </w:rPr>
        <w:t>2</w:t>
      </w:r>
      <w:r>
        <w:rPr>
          <w:rFonts w:hint="eastAsia" w:ascii="仿宋_GB2312" w:hAnsi="仿宋_GB2312" w:eastAsia="仿宋_GB2312" w:cs="仿宋_GB2312"/>
          <w:b w:val="0"/>
          <w:bCs/>
          <w:sz w:val="32"/>
          <w:szCs w:val="32"/>
          <w:highlight w:val="none"/>
        </w:rPr>
        <w:t>.</w:t>
      </w:r>
      <w:r>
        <w:rPr>
          <w:rFonts w:hint="eastAsia" w:ascii="仿宋_GB2312" w:hAnsi="仿宋_GB2312" w:eastAsia="仿宋_GB2312" w:cs="仿宋_GB2312"/>
          <w:b w:val="0"/>
          <w:bCs/>
          <w:sz w:val="32"/>
          <w:szCs w:val="32"/>
          <w:highlight w:val="none"/>
          <w:lang w:val="en"/>
        </w:rPr>
        <w:t>6</w:t>
      </w:r>
      <w:r>
        <w:rPr>
          <w:rFonts w:hint="eastAsia" w:ascii="仿宋_GB2312" w:hAnsi="仿宋_GB2312" w:eastAsia="仿宋_GB2312" w:cs="仿宋_GB2312"/>
          <w:b w:val="0"/>
          <w:bCs/>
          <w:sz w:val="32"/>
          <w:szCs w:val="32"/>
          <w:highlight w:val="none"/>
        </w:rPr>
        <w:t>危害控制组核实涉事疫苗的品种及生产批号，指导</w:t>
      </w:r>
      <w:r>
        <w:rPr>
          <w:rFonts w:hint="eastAsia" w:ascii="仿宋_GB2312" w:hAnsi="仿宋_GB2312" w:eastAsia="仿宋_GB2312" w:cs="仿宋_GB2312"/>
          <w:b w:val="0"/>
          <w:bCs/>
          <w:sz w:val="32"/>
          <w:szCs w:val="32"/>
          <w:highlight w:val="none"/>
          <w:lang w:eastAsia="zh-CN"/>
        </w:rPr>
        <w:t>疾病预防控制机构</w:t>
      </w:r>
      <w:r>
        <w:rPr>
          <w:rFonts w:hint="eastAsia" w:ascii="仿宋_GB2312" w:hAnsi="仿宋_GB2312" w:eastAsia="仿宋_GB2312" w:cs="仿宋_GB2312"/>
          <w:b w:val="0"/>
          <w:bCs/>
          <w:sz w:val="32"/>
          <w:szCs w:val="32"/>
          <w:highlight w:val="none"/>
        </w:rPr>
        <w:t>、</w:t>
      </w:r>
      <w:r>
        <w:rPr>
          <w:rFonts w:hint="eastAsia" w:ascii="仿宋_GB2312" w:hAnsi="仿宋_GB2312" w:eastAsia="仿宋_GB2312" w:cs="仿宋_GB2312"/>
          <w:b w:val="0"/>
          <w:bCs/>
          <w:sz w:val="32"/>
          <w:szCs w:val="32"/>
          <w:highlight w:val="none"/>
          <w:lang w:eastAsia="zh-CN"/>
        </w:rPr>
        <w:t>疫苗配送单位和接种单位依法采取就地封存、核查疫苗采购和配送渠道、追踪流向及汇总统计等紧急控制措施；</w:t>
      </w:r>
      <w:r>
        <w:rPr>
          <w:rFonts w:hint="eastAsia" w:ascii="仿宋_GB2312" w:hAnsi="仿宋_GB2312" w:eastAsia="仿宋_GB2312" w:cs="仿宋_GB2312"/>
          <w:b w:val="0"/>
          <w:bCs/>
          <w:sz w:val="32"/>
          <w:szCs w:val="32"/>
          <w:highlight w:val="none"/>
        </w:rPr>
        <w:t>组织对相关疫苗进行抽样送检。 </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rPr>
        <w:t>4.</w:t>
      </w:r>
      <w:r>
        <w:rPr>
          <w:rFonts w:hint="eastAsia" w:ascii="仿宋_GB2312" w:hAnsi="仿宋_GB2312" w:eastAsia="仿宋_GB2312" w:cs="仿宋_GB2312"/>
          <w:b w:val="0"/>
          <w:bCs/>
          <w:sz w:val="32"/>
          <w:szCs w:val="32"/>
          <w:highlight w:val="none"/>
          <w:lang w:val="en-US" w:eastAsia="zh-CN"/>
        </w:rPr>
        <w:t>2</w:t>
      </w:r>
      <w:r>
        <w:rPr>
          <w:rFonts w:hint="eastAsia" w:ascii="仿宋_GB2312" w:hAnsi="仿宋_GB2312" w:eastAsia="仿宋_GB2312" w:cs="仿宋_GB2312"/>
          <w:b w:val="0"/>
          <w:bCs/>
          <w:sz w:val="32"/>
          <w:szCs w:val="32"/>
          <w:highlight w:val="none"/>
        </w:rPr>
        <w:t>.</w:t>
      </w:r>
      <w:r>
        <w:rPr>
          <w:rFonts w:hint="eastAsia" w:ascii="仿宋_GB2312" w:hAnsi="仿宋_GB2312" w:eastAsia="仿宋_GB2312" w:cs="仿宋_GB2312"/>
          <w:b w:val="0"/>
          <w:bCs/>
          <w:sz w:val="32"/>
          <w:szCs w:val="32"/>
          <w:highlight w:val="none"/>
          <w:lang w:val="en"/>
        </w:rPr>
        <w:t>7</w:t>
      </w:r>
      <w:r>
        <w:rPr>
          <w:rFonts w:hint="eastAsia" w:ascii="仿宋_GB2312" w:hAnsi="仿宋_GB2312" w:eastAsia="仿宋_GB2312" w:cs="仿宋_GB2312"/>
          <w:b w:val="0"/>
          <w:bCs/>
          <w:sz w:val="32"/>
          <w:szCs w:val="32"/>
          <w:highlight w:val="none"/>
        </w:rPr>
        <w:t>根据调查进展情况，事件调查组适时组织召开专家组会议，对事件性质、原因进行研判，</w:t>
      </w:r>
      <w:r>
        <w:rPr>
          <w:rFonts w:hint="eastAsia" w:ascii="仿宋_GB2312" w:hAnsi="仿宋_GB2312" w:eastAsia="仿宋_GB2312" w:cs="仿宋_GB2312"/>
          <w:b w:val="0"/>
          <w:bCs/>
          <w:sz w:val="32"/>
          <w:szCs w:val="32"/>
          <w:highlight w:val="none"/>
          <w:lang w:eastAsia="zh-CN"/>
        </w:rPr>
        <w:t>配合上级部门</w:t>
      </w:r>
      <w:r>
        <w:rPr>
          <w:rFonts w:hint="eastAsia" w:ascii="仿宋_GB2312" w:hAnsi="仿宋_GB2312" w:eastAsia="仿宋_GB2312" w:cs="仿宋_GB2312"/>
          <w:b w:val="0"/>
          <w:bCs/>
          <w:sz w:val="32"/>
          <w:szCs w:val="32"/>
          <w:highlight w:val="none"/>
        </w:rPr>
        <w:t>作出研判结论。</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highlight w:val="none"/>
          <w:lang w:eastAsia="zh-CN"/>
        </w:rPr>
      </w:pPr>
      <w:r>
        <w:rPr>
          <w:rFonts w:hint="eastAsia" w:ascii="仿宋_GB2312" w:hAnsi="仿宋_GB2312" w:eastAsia="仿宋_GB2312" w:cs="仿宋_GB2312"/>
          <w:b w:val="0"/>
          <w:bCs/>
          <w:sz w:val="32"/>
          <w:szCs w:val="32"/>
          <w:highlight w:val="none"/>
        </w:rPr>
        <w:t>4.</w:t>
      </w:r>
      <w:r>
        <w:rPr>
          <w:rFonts w:hint="eastAsia" w:ascii="仿宋_GB2312" w:hAnsi="仿宋_GB2312" w:eastAsia="仿宋_GB2312" w:cs="仿宋_GB2312"/>
          <w:b w:val="0"/>
          <w:bCs/>
          <w:sz w:val="32"/>
          <w:szCs w:val="32"/>
          <w:highlight w:val="none"/>
          <w:lang w:val="en-US" w:eastAsia="zh-CN"/>
        </w:rPr>
        <w:t>2</w:t>
      </w:r>
      <w:r>
        <w:rPr>
          <w:rFonts w:hint="eastAsia" w:ascii="仿宋_GB2312" w:hAnsi="仿宋_GB2312" w:eastAsia="仿宋_GB2312" w:cs="仿宋_GB2312"/>
          <w:b w:val="0"/>
          <w:bCs/>
          <w:sz w:val="32"/>
          <w:szCs w:val="32"/>
          <w:highlight w:val="none"/>
        </w:rPr>
        <w:t>.</w:t>
      </w:r>
      <w:r>
        <w:rPr>
          <w:rFonts w:hint="eastAsia" w:ascii="仿宋_GB2312" w:hAnsi="仿宋_GB2312" w:eastAsia="仿宋_GB2312" w:cs="仿宋_GB2312"/>
          <w:b w:val="0"/>
          <w:bCs/>
          <w:sz w:val="32"/>
          <w:szCs w:val="32"/>
          <w:highlight w:val="none"/>
          <w:lang w:val="en"/>
        </w:rPr>
        <w:t>8</w:t>
      </w:r>
      <w:r>
        <w:rPr>
          <w:rFonts w:hint="eastAsia" w:ascii="仿宋_GB2312" w:hAnsi="仿宋_GB2312" w:eastAsia="仿宋_GB2312" w:cs="仿宋_GB2312"/>
          <w:b w:val="0"/>
          <w:bCs/>
          <w:sz w:val="32"/>
          <w:szCs w:val="32"/>
          <w:highlight w:val="none"/>
          <w:lang w:eastAsia="zh-CN"/>
        </w:rPr>
        <w:t>新闻宣传组</w:t>
      </w:r>
      <w:r>
        <w:rPr>
          <w:rFonts w:hint="eastAsia" w:ascii="仿宋_GB2312" w:hAnsi="仿宋_GB2312" w:eastAsia="仿宋_GB2312" w:cs="仿宋_GB2312"/>
          <w:b w:val="0"/>
          <w:bCs/>
          <w:sz w:val="32"/>
          <w:szCs w:val="32"/>
          <w:highlight w:val="none"/>
        </w:rPr>
        <w:t>及时</w:t>
      </w:r>
      <w:r>
        <w:rPr>
          <w:rFonts w:hint="eastAsia" w:ascii="仿宋_GB2312" w:hAnsi="仿宋_GB2312" w:eastAsia="仿宋_GB2312" w:cs="仿宋_GB2312"/>
          <w:b w:val="0"/>
          <w:bCs/>
          <w:sz w:val="32"/>
          <w:szCs w:val="32"/>
          <w:highlight w:val="none"/>
          <w:lang w:eastAsia="zh-CN"/>
        </w:rPr>
        <w:t>配合上级部门</w:t>
      </w:r>
      <w:r>
        <w:rPr>
          <w:rFonts w:hint="eastAsia" w:ascii="仿宋_GB2312" w:hAnsi="仿宋_GB2312" w:eastAsia="仿宋_GB2312" w:cs="仿宋_GB2312"/>
          <w:b w:val="0"/>
          <w:bCs/>
          <w:sz w:val="32"/>
          <w:szCs w:val="32"/>
          <w:highlight w:val="none"/>
        </w:rPr>
        <w:t>向社会发布警示信息；密切关注社会及网络舆情，做好舆论引导工作</w:t>
      </w:r>
      <w:r>
        <w:rPr>
          <w:rFonts w:hint="eastAsia" w:ascii="仿宋_GB2312" w:hAnsi="仿宋_GB2312" w:eastAsia="仿宋_GB2312" w:cs="仿宋_GB2312"/>
          <w:b w:val="0"/>
          <w:bCs/>
          <w:sz w:val="32"/>
          <w:szCs w:val="32"/>
          <w:highlight w:val="none"/>
          <w:lang w:eastAsia="zh-CN"/>
        </w:rPr>
        <w:t>；依法依规打击网络谣言，查处造谣、传谣人员。</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rPr>
        <w:t>4.</w:t>
      </w:r>
      <w:r>
        <w:rPr>
          <w:rFonts w:hint="eastAsia" w:ascii="仿宋_GB2312" w:hAnsi="仿宋_GB2312" w:eastAsia="仿宋_GB2312" w:cs="仿宋_GB2312"/>
          <w:b w:val="0"/>
          <w:bCs/>
          <w:sz w:val="32"/>
          <w:szCs w:val="32"/>
          <w:highlight w:val="none"/>
          <w:lang w:val="en-US" w:eastAsia="zh-CN"/>
        </w:rPr>
        <w:t>2</w:t>
      </w:r>
      <w:r>
        <w:rPr>
          <w:rFonts w:hint="eastAsia" w:ascii="仿宋_GB2312" w:hAnsi="仿宋_GB2312" w:eastAsia="仿宋_GB2312" w:cs="仿宋_GB2312"/>
          <w:b w:val="0"/>
          <w:bCs/>
          <w:sz w:val="32"/>
          <w:szCs w:val="32"/>
          <w:highlight w:val="none"/>
        </w:rPr>
        <w:t>.</w:t>
      </w:r>
      <w:r>
        <w:rPr>
          <w:rFonts w:hint="eastAsia" w:ascii="仿宋_GB2312" w:hAnsi="仿宋_GB2312" w:eastAsia="仿宋_GB2312" w:cs="仿宋_GB2312"/>
          <w:b w:val="0"/>
          <w:bCs/>
          <w:sz w:val="32"/>
          <w:szCs w:val="32"/>
          <w:highlight w:val="none"/>
          <w:lang w:val="en"/>
        </w:rPr>
        <w:t>9</w:t>
      </w:r>
      <w:r>
        <w:rPr>
          <w:rFonts w:hint="eastAsia" w:ascii="仿宋_GB2312" w:hAnsi="仿宋_GB2312" w:eastAsia="仿宋_GB2312" w:cs="仿宋_GB2312"/>
          <w:b w:val="0"/>
          <w:bCs/>
          <w:sz w:val="32"/>
          <w:szCs w:val="32"/>
          <w:highlight w:val="none"/>
        </w:rPr>
        <w:t>社会稳定组密切关注社会动态，做好疫苗接种者亲属安抚、信访接访等工作，确保社会稳定。</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kern w:val="2"/>
          <w:sz w:val="32"/>
          <w:szCs w:val="32"/>
          <w:highlight w:val="none"/>
          <w:lang w:val="en-US" w:eastAsia="zh-CN" w:bidi="ar-SA"/>
        </w:rPr>
      </w:pPr>
      <w:r>
        <w:rPr>
          <w:rFonts w:hint="eastAsia" w:ascii="楷体_GB2312" w:hAnsi="楷体_GB2312" w:eastAsia="楷体_GB2312" w:cs="楷体_GB2312"/>
          <w:b w:val="0"/>
          <w:bCs/>
          <w:sz w:val="32"/>
          <w:szCs w:val="32"/>
          <w:highlight w:val="none"/>
        </w:rPr>
        <w:t>4.</w:t>
      </w:r>
      <w:r>
        <w:rPr>
          <w:rFonts w:hint="eastAsia" w:ascii="楷体_GB2312" w:hAnsi="楷体_GB2312" w:eastAsia="楷体_GB2312" w:cs="楷体_GB2312"/>
          <w:b w:val="0"/>
          <w:bCs/>
          <w:sz w:val="32"/>
          <w:szCs w:val="32"/>
          <w:highlight w:val="none"/>
          <w:lang w:val="en-US" w:eastAsia="zh-CN"/>
        </w:rPr>
        <w:t>3</w:t>
      </w:r>
      <w:r>
        <w:rPr>
          <w:rFonts w:hint="eastAsia" w:ascii="楷体_GB2312" w:hAnsi="楷体_GB2312" w:eastAsia="楷体_GB2312" w:cs="楷体_GB2312"/>
          <w:kern w:val="2"/>
          <w:sz w:val="32"/>
          <w:szCs w:val="32"/>
          <w:highlight w:val="none"/>
          <w:lang w:val="en-US" w:eastAsia="zh-CN" w:bidi="ar-SA"/>
        </w:rPr>
        <w:t>响应结束</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rPr>
        <w:t>事件原因调查清楚、</w:t>
      </w:r>
      <w:r>
        <w:rPr>
          <w:rFonts w:hint="eastAsia" w:ascii="仿宋_GB2312" w:hAnsi="仿宋_GB2312" w:eastAsia="仿宋_GB2312" w:cs="仿宋_GB2312"/>
          <w:b w:val="0"/>
          <w:bCs/>
          <w:sz w:val="32"/>
          <w:szCs w:val="32"/>
          <w:highlight w:val="none"/>
          <w:lang w:eastAsia="zh-CN"/>
        </w:rPr>
        <w:t>患者病情稳定或好转，没有新发、次发病例，</w:t>
      </w:r>
      <w:r>
        <w:rPr>
          <w:rFonts w:hint="eastAsia" w:ascii="仿宋_GB2312" w:hAnsi="仿宋_GB2312" w:eastAsia="仿宋_GB2312" w:cs="仿宋_GB2312"/>
          <w:b w:val="0"/>
          <w:bCs/>
          <w:sz w:val="32"/>
          <w:szCs w:val="32"/>
          <w:highlight w:val="none"/>
        </w:rPr>
        <w:t>安全隐患或相关危害因素得到消除</w:t>
      </w:r>
      <w:r>
        <w:rPr>
          <w:rFonts w:hint="eastAsia" w:ascii="仿宋_GB2312" w:hAnsi="仿宋_GB2312" w:eastAsia="仿宋_GB2312" w:cs="仿宋_GB2312"/>
          <w:b w:val="0"/>
          <w:bCs/>
          <w:sz w:val="32"/>
          <w:szCs w:val="32"/>
          <w:highlight w:val="none"/>
          <w:lang w:eastAsia="zh-CN"/>
        </w:rPr>
        <w:t>，事件</w:t>
      </w:r>
      <w:r>
        <w:rPr>
          <w:rFonts w:hint="eastAsia" w:ascii="仿宋_GB2312" w:hAnsi="仿宋_GB2312" w:eastAsia="仿宋_GB2312" w:cs="仿宋_GB2312"/>
          <w:b w:val="0"/>
          <w:bCs/>
          <w:sz w:val="32"/>
          <w:szCs w:val="32"/>
          <w:highlight w:val="none"/>
        </w:rPr>
        <w:t>处置结束后，</w:t>
      </w:r>
      <w:r>
        <w:rPr>
          <w:rFonts w:hint="eastAsia" w:ascii="仿宋_GB2312" w:hAnsi="仿宋_GB2312" w:eastAsia="仿宋_GB2312" w:cs="仿宋_GB2312"/>
          <w:b w:val="0"/>
          <w:bCs/>
          <w:sz w:val="32"/>
          <w:szCs w:val="32"/>
          <w:highlight w:val="none"/>
          <w:lang w:eastAsia="zh-CN"/>
        </w:rPr>
        <w:t>接到上级部门通知可终止应急响应的，区</w:t>
      </w:r>
      <w:r>
        <w:rPr>
          <w:rFonts w:hint="eastAsia" w:ascii="仿宋_GB2312" w:hAnsi="仿宋_GB2312" w:eastAsia="仿宋_GB2312" w:cs="仿宋_GB2312"/>
          <w:b w:val="0"/>
          <w:bCs/>
          <w:sz w:val="32"/>
          <w:szCs w:val="32"/>
          <w:highlight w:val="none"/>
        </w:rPr>
        <w:t>指挥部宣布响应</w:t>
      </w:r>
      <w:r>
        <w:rPr>
          <w:rFonts w:hint="eastAsia" w:ascii="仿宋_GB2312" w:hAnsi="仿宋_GB2312" w:eastAsia="仿宋_GB2312" w:cs="仿宋_GB2312"/>
          <w:b w:val="0"/>
          <w:bCs/>
          <w:sz w:val="32"/>
          <w:szCs w:val="32"/>
          <w:highlight w:val="none"/>
          <w:lang w:eastAsia="zh-CN"/>
        </w:rPr>
        <w:t>终止</w:t>
      </w:r>
      <w:r>
        <w:rPr>
          <w:rFonts w:hint="eastAsia" w:ascii="仿宋_GB2312" w:hAnsi="仿宋_GB2312" w:eastAsia="仿宋_GB2312" w:cs="仿宋_GB2312"/>
          <w:b w:val="0"/>
          <w:bCs/>
          <w:sz w:val="32"/>
          <w:szCs w:val="32"/>
          <w:highlight w:val="none"/>
        </w:rPr>
        <w:t>，解除应急状态。</w:t>
      </w:r>
    </w:p>
    <w:p>
      <w:pPr>
        <w:pStyle w:val="7"/>
        <w:keepNext w:val="0"/>
        <w:keepLines w:val="0"/>
        <w:pageBreakBefore w:val="0"/>
        <w:kinsoku/>
        <w:wordWrap/>
        <w:overflowPunct/>
        <w:topLinePunct w:val="0"/>
        <w:autoSpaceDE/>
        <w:autoSpaceDN/>
        <w:bidi w:val="0"/>
        <w:adjustRightInd/>
        <w:snapToGrid/>
        <w:spacing w:beforeAutospacing="0" w:afterAutospacing="0" w:line="576" w:lineRule="exact"/>
        <w:ind w:firstLine="627" w:firstLineChars="196"/>
        <w:jc w:val="both"/>
        <w:textAlignment w:val="auto"/>
        <w:rPr>
          <w:rFonts w:hint="eastAsia" w:ascii="黑体" w:hAnsi="黑体" w:eastAsia="黑体" w:cs="黑体"/>
          <w:b w:val="0"/>
          <w:bCs/>
          <w:kern w:val="2"/>
          <w:sz w:val="32"/>
          <w:szCs w:val="32"/>
        </w:rPr>
      </w:pPr>
      <w:r>
        <w:rPr>
          <w:rFonts w:hint="eastAsia" w:ascii="黑体" w:hAnsi="黑体" w:eastAsia="黑体" w:cs="黑体"/>
          <w:b w:val="0"/>
          <w:bCs/>
          <w:kern w:val="2"/>
          <w:sz w:val="32"/>
          <w:szCs w:val="32"/>
          <w:lang w:val="en-US" w:eastAsia="zh-CN"/>
        </w:rPr>
        <w:t>5.</w:t>
      </w:r>
      <w:r>
        <w:rPr>
          <w:rFonts w:hint="eastAsia" w:ascii="黑体" w:hAnsi="黑体" w:eastAsia="黑体" w:cs="黑体"/>
          <w:b w:val="0"/>
          <w:bCs/>
          <w:kern w:val="2"/>
          <w:sz w:val="32"/>
          <w:szCs w:val="32"/>
          <w:lang w:eastAsia="zh-CN"/>
        </w:rPr>
        <w:t>善后</w:t>
      </w:r>
      <w:r>
        <w:rPr>
          <w:rFonts w:hint="eastAsia" w:ascii="黑体" w:hAnsi="黑体" w:eastAsia="黑体" w:cs="黑体"/>
          <w:b w:val="0"/>
          <w:bCs/>
          <w:kern w:val="2"/>
          <w:sz w:val="32"/>
          <w:szCs w:val="32"/>
        </w:rPr>
        <w:t>处置</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lang w:val="en-US" w:eastAsia="zh-CN"/>
        </w:rPr>
        <w:t>5</w:t>
      </w:r>
      <w:r>
        <w:rPr>
          <w:rFonts w:hint="eastAsia" w:ascii="楷体_GB2312" w:hAnsi="楷体_GB2312" w:eastAsia="楷体_GB2312" w:cs="楷体_GB2312"/>
          <w:b w:val="0"/>
          <w:bCs/>
          <w:sz w:val="32"/>
          <w:szCs w:val="32"/>
        </w:rPr>
        <w:t>.1</w:t>
      </w:r>
      <w:r>
        <w:rPr>
          <w:rFonts w:hint="eastAsia" w:ascii="楷体_GB2312" w:hAnsi="楷体_GB2312" w:eastAsia="楷体_GB2312" w:cs="楷体_GB2312"/>
          <w:kern w:val="2"/>
          <w:sz w:val="32"/>
          <w:szCs w:val="32"/>
          <w:lang w:val="en-US" w:eastAsia="zh-CN" w:bidi="ar-SA"/>
        </w:rPr>
        <w:t>事件评估</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配合聊城市市</w:t>
      </w:r>
      <w:r>
        <w:rPr>
          <w:rFonts w:hint="eastAsia" w:ascii="仿宋_GB2312" w:hAnsi="仿宋_GB2312" w:eastAsia="仿宋_GB2312" w:cs="仿宋_GB2312"/>
          <w:b w:val="0"/>
          <w:bCs/>
          <w:sz w:val="32"/>
          <w:szCs w:val="32"/>
        </w:rPr>
        <w:t>级</w:t>
      </w:r>
      <w:r>
        <w:rPr>
          <w:rFonts w:hint="eastAsia" w:ascii="仿宋_GB2312" w:hAnsi="仿宋_GB2312" w:eastAsia="仿宋_GB2312" w:cs="仿宋_GB2312"/>
          <w:b w:val="0"/>
          <w:bCs/>
          <w:sz w:val="32"/>
          <w:szCs w:val="32"/>
          <w:lang w:eastAsia="zh-CN"/>
        </w:rPr>
        <w:t>应急</w:t>
      </w:r>
      <w:r>
        <w:rPr>
          <w:rFonts w:hint="eastAsia" w:ascii="仿宋_GB2312" w:hAnsi="仿宋_GB2312" w:eastAsia="仿宋_GB2312" w:cs="仿宋_GB2312"/>
          <w:b w:val="0"/>
          <w:bCs/>
          <w:sz w:val="32"/>
          <w:szCs w:val="32"/>
        </w:rPr>
        <w:t>指挥部</w:t>
      </w:r>
      <w:r>
        <w:rPr>
          <w:rFonts w:hint="eastAsia" w:ascii="仿宋_GB2312" w:hAnsi="仿宋_GB2312" w:eastAsia="仿宋_GB2312" w:cs="仿宋_GB2312"/>
          <w:b w:val="0"/>
          <w:bCs/>
          <w:sz w:val="32"/>
          <w:szCs w:val="32"/>
          <w:lang w:eastAsia="zh-CN"/>
        </w:rPr>
        <w:t>办公室</w:t>
      </w:r>
      <w:r>
        <w:rPr>
          <w:rFonts w:hint="eastAsia" w:ascii="仿宋_GB2312" w:hAnsi="仿宋_GB2312" w:eastAsia="仿宋_GB2312" w:cs="仿宋_GB2312"/>
          <w:b w:val="0"/>
          <w:bCs/>
          <w:sz w:val="32"/>
          <w:szCs w:val="32"/>
        </w:rPr>
        <w:t>按规定及时对疫苗安全事件做出客观、真实、全面的调查评估</w:t>
      </w:r>
      <w:r>
        <w:rPr>
          <w:rFonts w:hint="eastAsia" w:ascii="仿宋_GB2312" w:hAnsi="仿宋_GB2312" w:eastAsia="仿宋_GB2312" w:cs="仿宋_GB2312"/>
          <w:b w:val="0"/>
          <w:bCs/>
          <w:sz w:val="32"/>
          <w:szCs w:val="32"/>
          <w:lang w:eastAsia="zh-CN"/>
        </w:rPr>
        <w:t>，根据再评价结果采取相应的风险控制措施。</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lang w:val="en-US" w:eastAsia="zh-CN"/>
        </w:rPr>
        <w:t>5</w:t>
      </w:r>
      <w:r>
        <w:rPr>
          <w:rFonts w:hint="eastAsia" w:ascii="楷体_GB2312" w:hAnsi="楷体_GB2312" w:eastAsia="楷体_GB2312" w:cs="楷体_GB2312"/>
          <w:b w:val="0"/>
          <w:bCs/>
          <w:sz w:val="32"/>
          <w:szCs w:val="32"/>
        </w:rPr>
        <w:t>.2</w:t>
      </w:r>
      <w:r>
        <w:rPr>
          <w:rFonts w:hint="eastAsia" w:ascii="楷体_GB2312" w:hAnsi="楷体_GB2312" w:eastAsia="楷体_GB2312" w:cs="楷体_GB2312"/>
          <w:kern w:val="2"/>
          <w:sz w:val="32"/>
          <w:szCs w:val="32"/>
          <w:lang w:val="en-US" w:eastAsia="zh-CN" w:bidi="ar-SA"/>
        </w:rPr>
        <w:t>工作总结</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疫苗安全事件应急处置结束后，</w:t>
      </w:r>
      <w:r>
        <w:rPr>
          <w:rFonts w:hint="eastAsia" w:ascii="仿宋_GB2312" w:hAnsi="仿宋_GB2312" w:eastAsia="仿宋_GB2312" w:cs="仿宋_GB2312"/>
          <w:b w:val="0"/>
          <w:bCs/>
          <w:sz w:val="32"/>
          <w:szCs w:val="32"/>
          <w:lang w:eastAsia="zh-CN"/>
        </w:rPr>
        <w:t>各级应急</w:t>
      </w:r>
      <w:r>
        <w:rPr>
          <w:rFonts w:hint="eastAsia" w:ascii="仿宋_GB2312" w:hAnsi="仿宋_GB2312" w:eastAsia="仿宋_GB2312" w:cs="仿宋_GB2312"/>
          <w:b w:val="0"/>
          <w:bCs/>
          <w:sz w:val="32"/>
          <w:szCs w:val="32"/>
        </w:rPr>
        <w:t>指挥部要及时对事件发生的经过、采取的主要措施、处置工作情况、原因分析、主要做法进行总结，并提出改进措施。</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b w:val="0"/>
          <w:bCs/>
          <w:sz w:val="32"/>
          <w:szCs w:val="32"/>
          <w:lang w:val="en-US" w:eastAsia="zh-CN"/>
        </w:rPr>
        <w:t>5</w:t>
      </w:r>
      <w:r>
        <w:rPr>
          <w:rFonts w:hint="eastAsia" w:ascii="楷体_GB2312" w:hAnsi="楷体_GB2312" w:eastAsia="楷体_GB2312" w:cs="楷体_GB2312"/>
          <w:b w:val="0"/>
          <w:bCs/>
          <w:sz w:val="32"/>
          <w:szCs w:val="32"/>
        </w:rPr>
        <w:t>.3</w:t>
      </w:r>
      <w:r>
        <w:rPr>
          <w:rFonts w:hint="eastAsia" w:ascii="楷体_GB2312" w:hAnsi="楷体_GB2312" w:eastAsia="楷体_GB2312" w:cs="楷体_GB2312"/>
          <w:kern w:val="2"/>
          <w:sz w:val="32"/>
          <w:szCs w:val="32"/>
          <w:lang w:val="en-US" w:eastAsia="zh-CN" w:bidi="ar-SA"/>
        </w:rPr>
        <w:t>善后与恢复</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lang w:val="en"/>
        </w:rPr>
      </w:pPr>
      <w:r>
        <w:rPr>
          <w:rFonts w:hint="eastAsia" w:ascii="仿宋_GB2312" w:hAnsi="仿宋_GB2312" w:eastAsia="仿宋_GB2312" w:cs="仿宋_GB2312"/>
          <w:b w:val="0"/>
          <w:bCs/>
          <w:sz w:val="32"/>
          <w:szCs w:val="32"/>
          <w:lang w:eastAsia="zh-CN"/>
        </w:rPr>
        <w:t>各级应急</w:t>
      </w:r>
      <w:r>
        <w:rPr>
          <w:rFonts w:hint="eastAsia" w:ascii="仿宋_GB2312" w:hAnsi="仿宋_GB2312" w:eastAsia="仿宋_GB2312" w:cs="仿宋_GB2312"/>
          <w:b w:val="0"/>
          <w:bCs/>
          <w:sz w:val="32"/>
          <w:szCs w:val="32"/>
        </w:rPr>
        <w:t>指挥部根据疫苗安全事件危害程度及造成的损失，提出善后处理意见，并报同级人民政府批准。事发地政府负责组织善后处置工作，包括受害及受影响人员的处置、慰问、医疗救治、赔（补）偿、征用物资和救援费用补偿等事项，尽快消除影响，恢复生产经营秩序，确保社会稳定。</w:t>
      </w:r>
      <w:r>
        <w:rPr>
          <w:rFonts w:hint="eastAsia" w:ascii="仿宋_GB2312" w:hAnsi="仿宋_GB2312" w:eastAsia="仿宋_GB2312" w:cs="仿宋_GB2312"/>
          <w:b w:val="0"/>
          <w:bCs/>
          <w:sz w:val="32"/>
          <w:szCs w:val="32"/>
          <w:lang w:val="en"/>
        </w:rPr>
        <w:t>根据调查和认定的结论，依法对相关责任单位和责任人采取处理措施。</w:t>
      </w:r>
    </w:p>
    <w:p>
      <w:pPr>
        <w:pStyle w:val="7"/>
        <w:keepNext w:val="0"/>
        <w:keepLines w:val="0"/>
        <w:pageBreakBefore w:val="0"/>
        <w:kinsoku/>
        <w:wordWrap/>
        <w:overflowPunct/>
        <w:topLinePunct w:val="0"/>
        <w:autoSpaceDE/>
        <w:autoSpaceDN/>
        <w:bidi w:val="0"/>
        <w:adjustRightInd/>
        <w:snapToGrid/>
        <w:spacing w:beforeAutospacing="0" w:afterAutospacing="0" w:line="576" w:lineRule="exact"/>
        <w:ind w:firstLine="627" w:firstLineChars="196"/>
        <w:jc w:val="both"/>
        <w:textAlignment w:val="auto"/>
        <w:rPr>
          <w:rFonts w:hint="eastAsia" w:ascii="黑体" w:hAnsi="黑体" w:eastAsia="黑体" w:cs="黑体"/>
          <w:b w:val="0"/>
          <w:bCs/>
          <w:kern w:val="2"/>
          <w:sz w:val="32"/>
          <w:szCs w:val="32"/>
          <w:lang w:val="en-US" w:eastAsia="zh-CN"/>
        </w:rPr>
      </w:pPr>
      <w:r>
        <w:rPr>
          <w:rFonts w:hint="eastAsia" w:ascii="黑体" w:hAnsi="黑体" w:eastAsia="黑体" w:cs="黑体"/>
          <w:b w:val="0"/>
          <w:bCs/>
          <w:kern w:val="2"/>
          <w:sz w:val="32"/>
          <w:szCs w:val="32"/>
          <w:lang w:val="en" w:eastAsia="zh-CN"/>
        </w:rPr>
        <w:t>6</w:t>
      </w:r>
      <w:r>
        <w:rPr>
          <w:rFonts w:hint="eastAsia" w:ascii="黑体" w:hAnsi="黑体" w:eastAsia="黑体" w:cs="黑体"/>
          <w:b w:val="0"/>
          <w:bCs/>
          <w:kern w:val="2"/>
          <w:sz w:val="32"/>
          <w:szCs w:val="32"/>
          <w:lang w:val="en-US" w:eastAsia="zh-CN"/>
        </w:rPr>
        <w:t>.保障措施</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b w:val="0"/>
          <w:bCs/>
          <w:sz w:val="32"/>
          <w:szCs w:val="32"/>
          <w:lang w:val="en"/>
        </w:rPr>
        <w:t>6</w:t>
      </w:r>
      <w:r>
        <w:rPr>
          <w:rFonts w:hint="eastAsia" w:ascii="楷体_GB2312" w:hAnsi="楷体_GB2312" w:eastAsia="楷体_GB2312" w:cs="楷体_GB2312"/>
          <w:b w:val="0"/>
          <w:bCs/>
          <w:sz w:val="32"/>
          <w:szCs w:val="32"/>
        </w:rPr>
        <w:t>.1</w:t>
      </w:r>
      <w:r>
        <w:rPr>
          <w:rFonts w:hint="eastAsia" w:ascii="楷体_GB2312" w:hAnsi="楷体_GB2312" w:eastAsia="楷体_GB2312" w:cs="楷体_GB2312"/>
          <w:kern w:val="2"/>
          <w:sz w:val="32"/>
          <w:szCs w:val="32"/>
          <w:lang w:val="en-US" w:eastAsia="zh-CN" w:bidi="ar-SA"/>
        </w:rPr>
        <w:t>信息保障</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各级疫苗安全事件信息监测机构要建立健全信息收集、报送体系，密切关注苗头性、倾向性问题，确保事件发生时信息报送准确、及时。发现发布不实信息、散布谣言等情况，应及时通报相关部门。</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lang w:val="en"/>
        </w:rPr>
        <w:t>6</w:t>
      </w:r>
      <w:r>
        <w:rPr>
          <w:rFonts w:hint="eastAsia" w:ascii="楷体_GB2312" w:hAnsi="楷体_GB2312" w:eastAsia="楷体_GB2312" w:cs="楷体_GB2312"/>
          <w:b w:val="0"/>
          <w:bCs/>
          <w:sz w:val="32"/>
          <w:szCs w:val="32"/>
        </w:rPr>
        <w:t>.2</w:t>
      </w:r>
      <w:r>
        <w:rPr>
          <w:rFonts w:hint="eastAsia" w:ascii="楷体_GB2312" w:hAnsi="楷体_GB2312" w:eastAsia="楷体_GB2312" w:cs="楷体_GB2312"/>
          <w:kern w:val="2"/>
          <w:sz w:val="32"/>
          <w:szCs w:val="32"/>
          <w:lang w:val="en-US" w:eastAsia="zh-CN" w:bidi="ar-SA"/>
        </w:rPr>
        <w:t>人员及技术保障</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lang w:val="en"/>
        </w:rPr>
      </w:pPr>
      <w:r>
        <w:rPr>
          <w:rFonts w:hint="eastAsia" w:ascii="仿宋_GB2312" w:hAnsi="仿宋_GB2312" w:eastAsia="仿宋_GB2312" w:cs="仿宋_GB2312"/>
          <w:b w:val="0"/>
          <w:bCs/>
          <w:sz w:val="32"/>
          <w:szCs w:val="32"/>
        </w:rPr>
        <w:t>各级市场监管、卫生健康</w:t>
      </w:r>
      <w:r>
        <w:rPr>
          <w:rFonts w:hint="eastAsia" w:ascii="仿宋_GB2312" w:hAnsi="仿宋_GB2312" w:eastAsia="仿宋_GB2312" w:cs="仿宋_GB2312"/>
          <w:b w:val="0"/>
          <w:bCs/>
          <w:sz w:val="32"/>
          <w:szCs w:val="32"/>
          <w:lang w:val="en"/>
        </w:rPr>
        <w:t>等</w:t>
      </w:r>
      <w:r>
        <w:rPr>
          <w:rFonts w:hint="eastAsia" w:ascii="仿宋_GB2312" w:hAnsi="仿宋_GB2312" w:eastAsia="仿宋_GB2312" w:cs="仿宋_GB2312"/>
          <w:b w:val="0"/>
          <w:bCs/>
          <w:sz w:val="32"/>
          <w:szCs w:val="32"/>
          <w:lang w:val="en" w:eastAsia="zh-CN"/>
        </w:rPr>
        <w:t>相关</w:t>
      </w:r>
      <w:r>
        <w:rPr>
          <w:rFonts w:hint="eastAsia" w:ascii="仿宋_GB2312" w:hAnsi="仿宋_GB2312" w:eastAsia="仿宋_GB2312" w:cs="仿宋_GB2312"/>
          <w:b w:val="0"/>
          <w:bCs/>
          <w:sz w:val="32"/>
          <w:szCs w:val="32"/>
        </w:rPr>
        <w:t>部门要加强应急处置能力建设，提升快速应对能力和技术水平。健全专家队伍，为事件调查、风险评估等相关技术工作提供人才保障。</w:t>
      </w:r>
      <w:r>
        <w:rPr>
          <w:rFonts w:hint="eastAsia" w:ascii="仿宋_GB2312" w:hAnsi="仿宋_GB2312" w:eastAsia="仿宋_GB2312" w:cs="仿宋_GB2312"/>
          <w:b w:val="0"/>
          <w:bCs/>
          <w:sz w:val="32"/>
          <w:szCs w:val="32"/>
          <w:lang w:val="en"/>
        </w:rPr>
        <w:t>认真做好应急处置的档案管理工作。</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b w:val="0"/>
          <w:bCs/>
          <w:sz w:val="32"/>
          <w:szCs w:val="32"/>
          <w:lang w:val="en"/>
        </w:rPr>
        <w:t>6</w:t>
      </w:r>
      <w:r>
        <w:rPr>
          <w:rFonts w:hint="eastAsia" w:ascii="楷体_GB2312" w:hAnsi="楷体_GB2312" w:eastAsia="楷体_GB2312" w:cs="楷体_GB2312"/>
          <w:b w:val="0"/>
          <w:bCs/>
          <w:sz w:val="32"/>
          <w:szCs w:val="32"/>
        </w:rPr>
        <w:t>.3</w:t>
      </w:r>
      <w:r>
        <w:rPr>
          <w:rFonts w:hint="eastAsia" w:ascii="楷体_GB2312" w:hAnsi="楷体_GB2312" w:eastAsia="楷体_GB2312" w:cs="楷体_GB2312"/>
          <w:kern w:val="2"/>
          <w:sz w:val="32"/>
          <w:szCs w:val="32"/>
          <w:lang w:val="en-US" w:eastAsia="zh-CN" w:bidi="ar-SA"/>
        </w:rPr>
        <w:t>物资和经费保障</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
        </w:rPr>
        <w:t>保障</w:t>
      </w:r>
      <w:r>
        <w:rPr>
          <w:rFonts w:hint="eastAsia" w:ascii="仿宋_GB2312" w:hAnsi="仿宋_GB2312" w:eastAsia="仿宋_GB2312" w:cs="仿宋_GB2312"/>
          <w:b w:val="0"/>
          <w:bCs/>
          <w:sz w:val="32"/>
          <w:szCs w:val="32"/>
        </w:rPr>
        <w:t>疫苗安全事件应急处置所需设施、设备和物资的储备与调用。疫苗安全事件应急处置、产品抽样及检验等所需经费应当列入年度财政预算，保障应急</w:t>
      </w:r>
      <w:r>
        <w:rPr>
          <w:rFonts w:hint="eastAsia" w:ascii="仿宋_GB2312" w:hAnsi="仿宋_GB2312" w:eastAsia="仿宋_GB2312" w:cs="仿宋_GB2312"/>
          <w:b w:val="0"/>
          <w:bCs/>
          <w:sz w:val="32"/>
          <w:szCs w:val="32"/>
          <w:lang w:val="en"/>
        </w:rPr>
        <w:t>工作开展</w:t>
      </w:r>
      <w:r>
        <w:rPr>
          <w:rFonts w:hint="eastAsia" w:ascii="仿宋_GB2312" w:hAnsi="仿宋_GB2312" w:eastAsia="仿宋_GB2312" w:cs="仿宋_GB2312"/>
          <w:b w:val="0"/>
          <w:bCs/>
          <w:sz w:val="32"/>
          <w:szCs w:val="32"/>
        </w:rPr>
        <w:t>。</w:t>
      </w:r>
    </w:p>
    <w:p>
      <w:pPr>
        <w:pStyle w:val="7"/>
        <w:keepNext w:val="0"/>
        <w:keepLines w:val="0"/>
        <w:pageBreakBefore w:val="0"/>
        <w:kinsoku/>
        <w:wordWrap/>
        <w:overflowPunct/>
        <w:topLinePunct w:val="0"/>
        <w:autoSpaceDE/>
        <w:autoSpaceDN/>
        <w:bidi w:val="0"/>
        <w:adjustRightInd/>
        <w:snapToGrid/>
        <w:spacing w:beforeAutospacing="0" w:afterAutospacing="0" w:line="576" w:lineRule="exact"/>
        <w:ind w:firstLine="627" w:firstLineChars="196"/>
        <w:jc w:val="both"/>
        <w:textAlignment w:val="auto"/>
        <w:rPr>
          <w:rFonts w:hint="eastAsia" w:ascii="黑体" w:hAnsi="黑体" w:eastAsia="黑体" w:cs="黑体"/>
          <w:b w:val="0"/>
          <w:bCs/>
          <w:kern w:val="2"/>
          <w:sz w:val="32"/>
          <w:szCs w:val="32"/>
          <w:lang w:val="en" w:eastAsia="zh-CN"/>
        </w:rPr>
      </w:pPr>
      <w:r>
        <w:rPr>
          <w:rFonts w:hint="eastAsia" w:ascii="黑体" w:hAnsi="黑体" w:eastAsia="黑体" w:cs="黑体"/>
          <w:b w:val="0"/>
          <w:bCs/>
          <w:kern w:val="2"/>
          <w:sz w:val="32"/>
          <w:szCs w:val="32"/>
          <w:lang w:val="en" w:eastAsia="zh-CN"/>
        </w:rPr>
        <w:t>7</w:t>
      </w:r>
      <w:r>
        <w:rPr>
          <w:rFonts w:hint="eastAsia" w:ascii="黑体" w:hAnsi="黑体" w:eastAsia="黑体" w:cs="黑体"/>
          <w:b w:val="0"/>
          <w:bCs/>
          <w:kern w:val="2"/>
          <w:sz w:val="32"/>
          <w:szCs w:val="32"/>
          <w:lang w:val="en-US" w:eastAsia="zh-CN"/>
        </w:rPr>
        <w:t>.</w:t>
      </w:r>
      <w:r>
        <w:rPr>
          <w:rFonts w:hint="eastAsia" w:ascii="黑体" w:hAnsi="黑体" w:eastAsia="黑体" w:cs="黑体"/>
          <w:b w:val="0"/>
          <w:bCs/>
          <w:kern w:val="2"/>
          <w:sz w:val="32"/>
          <w:szCs w:val="32"/>
          <w:lang w:val="en" w:eastAsia="zh-CN"/>
        </w:rPr>
        <w:t>日常管理</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lang w:val="en"/>
        </w:rPr>
        <w:t>7</w:t>
      </w:r>
      <w:r>
        <w:rPr>
          <w:rFonts w:hint="eastAsia" w:ascii="楷体_GB2312" w:hAnsi="楷体_GB2312" w:eastAsia="楷体_GB2312" w:cs="楷体_GB2312"/>
          <w:b w:val="0"/>
          <w:bCs/>
          <w:sz w:val="32"/>
          <w:szCs w:val="32"/>
        </w:rPr>
        <w:t>.</w:t>
      </w:r>
      <w:r>
        <w:rPr>
          <w:rFonts w:hint="eastAsia" w:ascii="楷体_GB2312" w:hAnsi="楷体_GB2312" w:eastAsia="楷体_GB2312" w:cs="楷体_GB2312"/>
          <w:b w:val="0"/>
          <w:bCs/>
          <w:sz w:val="32"/>
          <w:szCs w:val="32"/>
          <w:lang w:val="en"/>
        </w:rPr>
        <w:t>1</w:t>
      </w:r>
      <w:r>
        <w:rPr>
          <w:rFonts w:hint="eastAsia" w:ascii="楷体_GB2312" w:hAnsi="楷体_GB2312" w:eastAsia="楷体_GB2312" w:cs="楷体_GB2312"/>
          <w:kern w:val="2"/>
          <w:sz w:val="32"/>
          <w:szCs w:val="32"/>
          <w:lang w:val="en-US" w:eastAsia="zh-CN" w:bidi="ar-SA"/>
        </w:rPr>
        <w:t>应急演练</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 w:eastAsia="zh-CN"/>
        </w:rPr>
        <w:t>区市场监管部</w:t>
      </w:r>
      <w:r>
        <w:rPr>
          <w:rFonts w:hint="eastAsia" w:ascii="仿宋_GB2312" w:hAnsi="仿宋_GB2312" w:eastAsia="仿宋_GB2312" w:cs="仿宋_GB2312"/>
          <w:b w:val="0"/>
          <w:bCs/>
          <w:sz w:val="32"/>
          <w:szCs w:val="32"/>
          <w:lang w:val="en"/>
        </w:rPr>
        <w:t>应会同有关部门及时</w:t>
      </w:r>
      <w:r>
        <w:rPr>
          <w:rFonts w:hint="eastAsia" w:ascii="仿宋_GB2312" w:hAnsi="仿宋_GB2312" w:eastAsia="仿宋_GB2312" w:cs="仿宋_GB2312"/>
          <w:b w:val="0"/>
          <w:bCs/>
          <w:sz w:val="32"/>
          <w:szCs w:val="32"/>
          <w:lang w:eastAsia="zh-CN"/>
        </w:rPr>
        <w:t>配合市级</w:t>
      </w:r>
      <w:r>
        <w:rPr>
          <w:rFonts w:hint="eastAsia" w:ascii="仿宋_GB2312" w:hAnsi="仿宋_GB2312" w:eastAsia="仿宋_GB2312" w:cs="仿宋_GB2312"/>
          <w:b w:val="0"/>
          <w:bCs/>
          <w:sz w:val="32"/>
          <w:szCs w:val="32"/>
        </w:rPr>
        <w:t>开展</w:t>
      </w:r>
      <w:r>
        <w:rPr>
          <w:rFonts w:hint="eastAsia" w:ascii="仿宋_GB2312" w:hAnsi="仿宋_GB2312" w:eastAsia="仿宋_GB2312" w:cs="仿宋_GB2312"/>
          <w:b w:val="0"/>
          <w:bCs/>
          <w:sz w:val="32"/>
          <w:szCs w:val="32"/>
          <w:lang w:val="en"/>
        </w:rPr>
        <w:t>疫苗安全事件</w:t>
      </w:r>
      <w:r>
        <w:rPr>
          <w:rFonts w:hint="eastAsia" w:ascii="仿宋_GB2312" w:hAnsi="仿宋_GB2312" w:eastAsia="仿宋_GB2312" w:cs="仿宋_GB2312"/>
          <w:b w:val="0"/>
          <w:bCs/>
          <w:sz w:val="32"/>
          <w:szCs w:val="32"/>
        </w:rPr>
        <w:t>应急演练，检验和强化应急响应和应急处置能力，</w:t>
      </w:r>
      <w:r>
        <w:rPr>
          <w:rFonts w:hint="eastAsia" w:ascii="仿宋_GB2312" w:hAnsi="仿宋_GB2312" w:eastAsia="仿宋_GB2312" w:cs="仿宋_GB2312"/>
          <w:b w:val="0"/>
          <w:bCs/>
          <w:sz w:val="32"/>
          <w:szCs w:val="32"/>
          <w:lang w:val="en"/>
        </w:rPr>
        <w:t>通过演练</w:t>
      </w:r>
      <w:r>
        <w:rPr>
          <w:rFonts w:hint="eastAsia" w:ascii="仿宋_GB2312" w:hAnsi="仿宋_GB2312" w:eastAsia="仿宋_GB2312" w:cs="仿宋_GB2312"/>
          <w:b w:val="0"/>
          <w:bCs/>
          <w:sz w:val="32"/>
          <w:szCs w:val="32"/>
        </w:rPr>
        <w:t>对</w:t>
      </w:r>
      <w:r>
        <w:rPr>
          <w:rFonts w:hint="eastAsia" w:ascii="仿宋_GB2312" w:hAnsi="仿宋_GB2312" w:eastAsia="仿宋_GB2312" w:cs="仿宋_GB2312"/>
          <w:b w:val="0"/>
          <w:bCs/>
          <w:sz w:val="32"/>
          <w:szCs w:val="32"/>
          <w:lang w:val="en"/>
        </w:rPr>
        <w:t>应急预案进行</w:t>
      </w:r>
      <w:r>
        <w:rPr>
          <w:rFonts w:hint="eastAsia" w:ascii="仿宋_GB2312" w:hAnsi="仿宋_GB2312" w:eastAsia="仿宋_GB2312" w:cs="仿宋_GB2312"/>
          <w:b w:val="0"/>
          <w:bCs/>
          <w:sz w:val="32"/>
          <w:szCs w:val="32"/>
        </w:rPr>
        <w:t>评估，</w:t>
      </w:r>
      <w:r>
        <w:rPr>
          <w:rFonts w:hint="eastAsia" w:ascii="仿宋_GB2312" w:hAnsi="仿宋_GB2312" w:eastAsia="仿宋_GB2312" w:cs="仿宋_GB2312"/>
          <w:b w:val="0"/>
          <w:bCs/>
          <w:sz w:val="32"/>
          <w:szCs w:val="32"/>
          <w:lang w:val="en"/>
        </w:rPr>
        <w:t>不断</w:t>
      </w:r>
      <w:r>
        <w:rPr>
          <w:rFonts w:hint="eastAsia" w:ascii="仿宋_GB2312" w:hAnsi="仿宋_GB2312" w:eastAsia="仿宋_GB2312" w:cs="仿宋_GB2312"/>
          <w:b w:val="0"/>
          <w:bCs/>
          <w:sz w:val="32"/>
          <w:szCs w:val="32"/>
        </w:rPr>
        <w:t>完善应急</w:t>
      </w:r>
      <w:r>
        <w:rPr>
          <w:rFonts w:hint="eastAsia" w:ascii="仿宋_GB2312" w:hAnsi="仿宋_GB2312" w:eastAsia="仿宋_GB2312" w:cs="仿宋_GB2312"/>
          <w:b w:val="0"/>
          <w:bCs/>
          <w:sz w:val="32"/>
          <w:szCs w:val="32"/>
          <w:lang w:val="en"/>
        </w:rPr>
        <w:t>预案</w:t>
      </w:r>
      <w:r>
        <w:rPr>
          <w:rFonts w:hint="eastAsia" w:ascii="仿宋_GB2312" w:hAnsi="仿宋_GB2312" w:eastAsia="仿宋_GB2312" w:cs="仿宋_GB2312"/>
          <w:b w:val="0"/>
          <w:bCs/>
          <w:sz w:val="32"/>
          <w:szCs w:val="32"/>
        </w:rPr>
        <w:t>。</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b w:val="0"/>
          <w:bCs/>
          <w:sz w:val="32"/>
          <w:szCs w:val="32"/>
          <w:lang w:val="en"/>
        </w:rPr>
      </w:pPr>
      <w:r>
        <w:rPr>
          <w:rFonts w:hint="eastAsia" w:ascii="楷体_GB2312" w:hAnsi="楷体_GB2312" w:eastAsia="楷体_GB2312" w:cs="楷体_GB2312"/>
          <w:b w:val="0"/>
          <w:bCs/>
          <w:sz w:val="32"/>
          <w:szCs w:val="32"/>
          <w:lang w:val="en"/>
        </w:rPr>
        <w:t>7.2</w:t>
      </w:r>
      <w:r>
        <w:rPr>
          <w:rFonts w:hint="eastAsia" w:ascii="楷体_GB2312" w:hAnsi="楷体_GB2312" w:eastAsia="楷体_GB2312" w:cs="楷体_GB2312"/>
          <w:kern w:val="2"/>
          <w:sz w:val="32"/>
          <w:szCs w:val="32"/>
          <w:lang w:val="en" w:eastAsia="zh-CN" w:bidi="ar-SA"/>
        </w:rPr>
        <w:t>应急宣传</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lang w:val="en"/>
        </w:rPr>
      </w:pPr>
      <w:r>
        <w:rPr>
          <w:rFonts w:hint="eastAsia" w:ascii="仿宋_GB2312" w:hAnsi="仿宋_GB2312" w:eastAsia="仿宋_GB2312" w:cs="仿宋_GB2312"/>
          <w:b w:val="0"/>
          <w:bCs/>
          <w:sz w:val="32"/>
          <w:szCs w:val="32"/>
          <w:lang w:val="en"/>
        </w:rPr>
        <w:t>各级政府及其有关部门、疾病预防控制机构、接种单位、疫苗上市许可持有人和疫苗行业协会等应当通过全国儿童预防接种日等活动定期开展疫苗安全</w:t>
      </w:r>
      <w:r>
        <w:rPr>
          <w:rFonts w:hint="eastAsia" w:ascii="仿宋_GB2312" w:hAnsi="仿宋_GB2312" w:eastAsia="仿宋_GB2312" w:cs="仿宋_GB2312"/>
          <w:b w:val="0"/>
          <w:bCs/>
          <w:sz w:val="32"/>
          <w:szCs w:val="32"/>
          <w:lang w:val="en" w:eastAsia="zh-CN"/>
        </w:rPr>
        <w:t>法律法规</w:t>
      </w:r>
      <w:r>
        <w:rPr>
          <w:rFonts w:hint="eastAsia" w:ascii="仿宋_GB2312" w:hAnsi="仿宋_GB2312" w:eastAsia="仿宋_GB2312" w:cs="仿宋_GB2312"/>
          <w:b w:val="0"/>
          <w:bCs/>
          <w:sz w:val="32"/>
          <w:szCs w:val="32"/>
          <w:lang w:val="en"/>
        </w:rPr>
        <w:t>以及预防接种知识等的宣传教育、普及工作。新闻媒体应当开展疫苗安全法律法规以及预防接种知识等的公益宣传。</w:t>
      </w:r>
    </w:p>
    <w:p>
      <w:pPr>
        <w:pStyle w:val="7"/>
        <w:keepNext w:val="0"/>
        <w:keepLines w:val="0"/>
        <w:pageBreakBefore w:val="0"/>
        <w:kinsoku/>
        <w:wordWrap/>
        <w:overflowPunct/>
        <w:topLinePunct w:val="0"/>
        <w:autoSpaceDE/>
        <w:autoSpaceDN/>
        <w:bidi w:val="0"/>
        <w:adjustRightInd/>
        <w:snapToGrid/>
        <w:spacing w:beforeAutospacing="0" w:afterAutospacing="0" w:line="576" w:lineRule="exact"/>
        <w:ind w:firstLine="627" w:firstLineChars="196"/>
        <w:jc w:val="both"/>
        <w:textAlignment w:val="auto"/>
        <w:rPr>
          <w:rFonts w:hint="eastAsia" w:ascii="黑体" w:hAnsi="黑体" w:eastAsia="黑体" w:cs="黑体"/>
          <w:b w:val="0"/>
          <w:bCs/>
          <w:kern w:val="2"/>
          <w:sz w:val="32"/>
          <w:szCs w:val="32"/>
          <w:lang w:val="en" w:eastAsia="zh-CN"/>
        </w:rPr>
      </w:pPr>
      <w:r>
        <w:rPr>
          <w:rFonts w:hint="eastAsia" w:ascii="黑体" w:hAnsi="黑体" w:eastAsia="黑体" w:cs="黑体"/>
          <w:b w:val="0"/>
          <w:bCs/>
          <w:kern w:val="2"/>
          <w:sz w:val="32"/>
          <w:szCs w:val="32"/>
          <w:lang w:val="en" w:eastAsia="zh-CN"/>
        </w:rPr>
        <w:t>8</w:t>
      </w:r>
      <w:r>
        <w:rPr>
          <w:rFonts w:hint="eastAsia" w:ascii="黑体" w:hAnsi="黑体" w:eastAsia="黑体" w:cs="黑体"/>
          <w:b w:val="0"/>
          <w:bCs/>
          <w:kern w:val="2"/>
          <w:sz w:val="32"/>
          <w:szCs w:val="32"/>
          <w:lang w:val="en-US" w:eastAsia="zh-CN"/>
        </w:rPr>
        <w:t>.</w:t>
      </w:r>
      <w:r>
        <w:rPr>
          <w:rFonts w:hint="eastAsia" w:ascii="黑体" w:hAnsi="黑体" w:eastAsia="黑体" w:cs="黑体"/>
          <w:b w:val="0"/>
          <w:bCs/>
          <w:kern w:val="2"/>
          <w:sz w:val="32"/>
          <w:szCs w:val="32"/>
          <w:lang w:val="en" w:eastAsia="zh-CN"/>
        </w:rPr>
        <w:t>附则</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kern w:val="2"/>
          <w:sz w:val="32"/>
          <w:szCs w:val="32"/>
          <w:lang w:val="en" w:eastAsia="zh-CN" w:bidi="ar-SA"/>
        </w:rPr>
      </w:pPr>
      <w:r>
        <w:rPr>
          <w:rFonts w:hint="eastAsia" w:ascii="楷体_GB2312" w:hAnsi="楷体_GB2312" w:eastAsia="楷体_GB2312" w:cs="楷体_GB2312"/>
          <w:b w:val="0"/>
          <w:bCs/>
          <w:sz w:val="32"/>
          <w:szCs w:val="32"/>
          <w:lang w:val="en"/>
        </w:rPr>
        <w:t>8</w:t>
      </w:r>
      <w:r>
        <w:rPr>
          <w:rFonts w:hint="eastAsia" w:ascii="楷体_GB2312" w:hAnsi="楷体_GB2312" w:eastAsia="楷体_GB2312" w:cs="楷体_GB2312"/>
          <w:b w:val="0"/>
          <w:bCs/>
          <w:sz w:val="32"/>
          <w:szCs w:val="32"/>
        </w:rPr>
        <w:t>.1</w:t>
      </w:r>
      <w:r>
        <w:rPr>
          <w:rFonts w:hint="eastAsia" w:ascii="楷体_GB2312" w:hAnsi="楷体_GB2312" w:eastAsia="楷体_GB2312" w:cs="楷体_GB2312"/>
          <w:kern w:val="2"/>
          <w:sz w:val="32"/>
          <w:szCs w:val="32"/>
          <w:lang w:val="en" w:eastAsia="zh-CN" w:bidi="ar-SA"/>
        </w:rPr>
        <w:t>预案管理</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本预案由</w:t>
      </w:r>
      <w:r>
        <w:rPr>
          <w:rFonts w:hint="eastAsia" w:ascii="仿宋_GB2312" w:hAnsi="仿宋_GB2312" w:eastAsia="仿宋_GB2312" w:cs="仿宋_GB2312"/>
          <w:b w:val="0"/>
          <w:bCs/>
          <w:sz w:val="32"/>
          <w:szCs w:val="32"/>
          <w:lang w:eastAsia="zh-CN"/>
        </w:rPr>
        <w:t>聊城经济技术开发区管委会</w:t>
      </w:r>
      <w:r>
        <w:rPr>
          <w:rFonts w:hint="eastAsia" w:ascii="仿宋_GB2312" w:hAnsi="仿宋_GB2312" w:eastAsia="仿宋_GB2312" w:cs="仿宋_GB2312"/>
          <w:b w:val="0"/>
          <w:bCs/>
          <w:sz w:val="32"/>
          <w:szCs w:val="32"/>
        </w:rPr>
        <w:t>组织制定，由</w:t>
      </w:r>
      <w:r>
        <w:rPr>
          <w:rFonts w:hint="eastAsia" w:ascii="仿宋_GB2312" w:hAnsi="仿宋_GB2312" w:eastAsia="仿宋_GB2312" w:cs="仿宋_GB2312"/>
          <w:b w:val="0"/>
          <w:bCs/>
          <w:sz w:val="32"/>
          <w:szCs w:val="32"/>
          <w:lang w:eastAsia="zh-CN"/>
        </w:rPr>
        <w:t>区</w:t>
      </w:r>
      <w:r>
        <w:rPr>
          <w:rFonts w:hint="eastAsia" w:ascii="仿宋_GB2312" w:hAnsi="仿宋_GB2312" w:eastAsia="仿宋_GB2312" w:cs="仿宋_GB2312"/>
          <w:b w:val="0"/>
          <w:bCs/>
          <w:sz w:val="32"/>
          <w:szCs w:val="32"/>
        </w:rPr>
        <w:t>市场监管</w:t>
      </w:r>
      <w:r>
        <w:rPr>
          <w:rFonts w:hint="eastAsia" w:ascii="仿宋_GB2312" w:hAnsi="仿宋_GB2312" w:eastAsia="仿宋_GB2312" w:cs="仿宋_GB2312"/>
          <w:b w:val="0"/>
          <w:bCs/>
          <w:sz w:val="32"/>
          <w:szCs w:val="32"/>
          <w:lang w:eastAsia="zh-CN"/>
        </w:rPr>
        <w:t>部</w:t>
      </w:r>
      <w:r>
        <w:rPr>
          <w:rFonts w:hint="eastAsia" w:ascii="仿宋_GB2312" w:hAnsi="仿宋_GB2312" w:eastAsia="仿宋_GB2312" w:cs="仿宋_GB2312"/>
          <w:b w:val="0"/>
          <w:bCs/>
          <w:sz w:val="32"/>
          <w:szCs w:val="32"/>
        </w:rPr>
        <w:t>会同</w:t>
      </w:r>
      <w:r>
        <w:rPr>
          <w:rFonts w:hint="eastAsia" w:ascii="仿宋_GB2312" w:hAnsi="仿宋_GB2312" w:eastAsia="仿宋_GB2312" w:cs="仿宋_GB2312"/>
          <w:b w:val="0"/>
          <w:bCs/>
          <w:sz w:val="32"/>
          <w:szCs w:val="32"/>
          <w:lang w:eastAsia="zh-CN"/>
        </w:rPr>
        <w:t>卫健管理办公室</w:t>
      </w:r>
      <w:r>
        <w:rPr>
          <w:rFonts w:hint="eastAsia" w:ascii="仿宋_GB2312" w:hAnsi="仿宋_GB2312" w:eastAsia="仿宋_GB2312" w:cs="仿宋_GB2312"/>
          <w:b w:val="0"/>
          <w:bCs/>
          <w:sz w:val="32"/>
          <w:szCs w:val="32"/>
        </w:rPr>
        <w:t>负责解释，并根据相关法律法规、政策规定和实施过程中发现的问题及时进行修订。</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lang w:val="en"/>
        </w:rPr>
        <w:t>8</w:t>
      </w:r>
      <w:r>
        <w:rPr>
          <w:rFonts w:hint="eastAsia" w:ascii="楷体_GB2312" w:hAnsi="楷体_GB2312" w:eastAsia="楷体_GB2312" w:cs="楷体_GB2312"/>
          <w:b w:val="0"/>
          <w:bCs/>
          <w:sz w:val="32"/>
          <w:szCs w:val="32"/>
        </w:rPr>
        <w:t>.2</w:t>
      </w:r>
      <w:r>
        <w:rPr>
          <w:rFonts w:hint="eastAsia" w:ascii="楷体_GB2312" w:hAnsi="楷体_GB2312" w:eastAsia="楷体_GB2312" w:cs="楷体_GB2312"/>
          <w:kern w:val="2"/>
          <w:sz w:val="32"/>
          <w:szCs w:val="32"/>
          <w:lang w:val="en" w:eastAsia="zh-CN" w:bidi="ar-SA"/>
        </w:rPr>
        <w:t>发布实施</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rPr>
      </w:pPr>
      <w:r>
        <w:rPr>
          <w:rFonts w:hint="eastAsia" w:ascii="仿宋_GB2312" w:hAnsi="仿宋_GB2312" w:eastAsia="仿宋_GB2312" w:cs="仿宋_GB2312"/>
          <w:b w:val="0"/>
          <w:bCs/>
          <w:sz w:val="32"/>
          <w:szCs w:val="32"/>
        </w:rPr>
        <w:t>本预案自发布之日起施行。</w:t>
      </w:r>
    </w:p>
    <w:p>
      <w:pPr>
        <w:keepNext w:val="0"/>
        <w:keepLines w:val="0"/>
        <w:pageBreakBefore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sz w:val="32"/>
          <w:szCs w:val="32"/>
        </w:rPr>
      </w:pP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附件：1.疫苗安全事件分级标准和响应级别</w:t>
      </w:r>
    </w:p>
    <w:p>
      <w:pPr>
        <w:keepNext w:val="0"/>
        <w:keepLines w:val="0"/>
        <w:pageBreakBefore w:val="0"/>
        <w:kinsoku/>
        <w:wordWrap/>
        <w:overflowPunct/>
        <w:topLinePunct w:val="0"/>
        <w:autoSpaceDE/>
        <w:autoSpaceDN/>
        <w:bidi w:val="0"/>
        <w:adjustRightInd/>
        <w:snapToGrid/>
        <w:spacing w:line="576" w:lineRule="exact"/>
        <w:ind w:firstLine="1600" w:firstLineChars="5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2.市疫苗安全事件应急指挥部成员单位职责</w:t>
      </w:r>
    </w:p>
    <w:p>
      <w:pPr>
        <w:keepNext w:val="0"/>
        <w:keepLines w:val="0"/>
        <w:pageBreakBefore w:val="0"/>
        <w:kinsoku/>
        <w:wordWrap/>
        <w:overflowPunct/>
        <w:topLinePunct w:val="0"/>
        <w:autoSpaceDE/>
        <w:autoSpaceDN/>
        <w:bidi w:val="0"/>
        <w:adjustRightInd/>
        <w:snapToGrid/>
        <w:spacing w:line="576" w:lineRule="exact"/>
        <w:ind w:firstLine="1600" w:firstLineChars="5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3.疫苗安全重大信息报告表</w:t>
      </w:r>
    </w:p>
    <w:p>
      <w:pPr>
        <w:keepNext w:val="0"/>
        <w:keepLines w:val="0"/>
        <w:pageBreakBefore w:val="0"/>
        <w:kinsoku/>
        <w:wordWrap/>
        <w:overflowPunct/>
        <w:topLinePunct w:val="0"/>
        <w:autoSpaceDE/>
        <w:autoSpaceDN/>
        <w:bidi w:val="0"/>
        <w:adjustRightInd/>
        <w:snapToGrid/>
        <w:spacing w:line="576" w:lineRule="exact"/>
        <w:textAlignment w:val="auto"/>
        <w:rPr>
          <w:rFonts w:hint="eastAsia" w:ascii="仿宋" w:hAnsi="仿宋" w:eastAsia="仿宋" w:cs="仿宋"/>
          <w:b w:val="0"/>
          <w:bCs/>
          <w:sz w:val="32"/>
          <w:szCs w:val="32"/>
        </w:rPr>
      </w:pPr>
    </w:p>
    <w:p>
      <w:pPr>
        <w:spacing w:line="600" w:lineRule="exact"/>
        <w:rPr>
          <w:rFonts w:hint="eastAsia" w:ascii="仿宋" w:hAnsi="仿宋" w:eastAsia="仿宋" w:cs="仿宋"/>
          <w:b w:val="0"/>
          <w:bCs/>
          <w:sz w:val="32"/>
          <w:szCs w:val="32"/>
        </w:rPr>
      </w:pPr>
    </w:p>
    <w:p>
      <w:pPr>
        <w:spacing w:line="600" w:lineRule="exact"/>
        <w:rPr>
          <w:rFonts w:hint="eastAsia" w:ascii="仿宋" w:hAnsi="仿宋" w:eastAsia="仿宋" w:cs="仿宋"/>
          <w:b w:val="0"/>
          <w:bCs/>
          <w:sz w:val="32"/>
          <w:szCs w:val="32"/>
        </w:rPr>
      </w:pPr>
    </w:p>
    <w:p>
      <w:pPr>
        <w:spacing w:line="600" w:lineRule="exact"/>
        <w:rPr>
          <w:rFonts w:hint="eastAsia" w:ascii="仿宋" w:hAnsi="仿宋" w:eastAsia="仿宋" w:cs="仿宋"/>
          <w:b w:val="0"/>
          <w:bCs/>
          <w:sz w:val="32"/>
          <w:szCs w:val="32"/>
        </w:rPr>
      </w:pPr>
    </w:p>
    <w:p>
      <w:pPr>
        <w:spacing w:line="600" w:lineRule="exact"/>
        <w:rPr>
          <w:rFonts w:hint="eastAsia" w:ascii="仿宋" w:hAnsi="仿宋" w:eastAsia="仿宋" w:cs="仿宋"/>
          <w:b w:val="0"/>
          <w:bCs/>
          <w:sz w:val="32"/>
          <w:szCs w:val="32"/>
        </w:rPr>
      </w:pPr>
    </w:p>
    <w:p>
      <w:pPr>
        <w:spacing w:line="600" w:lineRule="exact"/>
        <w:rPr>
          <w:rFonts w:hint="eastAsia" w:ascii="仿宋" w:hAnsi="仿宋" w:eastAsia="仿宋" w:cs="仿宋"/>
          <w:b w:val="0"/>
          <w:bCs/>
          <w:sz w:val="32"/>
          <w:szCs w:val="32"/>
        </w:rPr>
      </w:pPr>
    </w:p>
    <w:p>
      <w:pPr>
        <w:spacing w:line="600" w:lineRule="exact"/>
        <w:rPr>
          <w:rFonts w:hint="eastAsia" w:ascii="仿宋" w:hAnsi="仿宋" w:eastAsia="仿宋" w:cs="仿宋"/>
          <w:b w:val="0"/>
          <w:bCs/>
          <w:sz w:val="32"/>
          <w:szCs w:val="32"/>
        </w:rPr>
      </w:pPr>
    </w:p>
    <w:p>
      <w:pPr>
        <w:spacing w:line="600" w:lineRule="exact"/>
        <w:rPr>
          <w:rFonts w:hint="eastAsia" w:ascii="仿宋" w:hAnsi="仿宋" w:eastAsia="仿宋" w:cs="仿宋"/>
          <w:b w:val="0"/>
          <w:bCs/>
          <w:sz w:val="32"/>
          <w:szCs w:val="32"/>
        </w:rPr>
      </w:pPr>
    </w:p>
    <w:p>
      <w:pPr>
        <w:spacing w:line="600" w:lineRule="exact"/>
        <w:rPr>
          <w:rFonts w:hint="eastAsia" w:ascii="黑体" w:hAnsi="黑体" w:eastAsia="黑体" w:cs="黑体"/>
          <w:b w:val="0"/>
          <w:bCs/>
          <w:sz w:val="32"/>
          <w:szCs w:val="32"/>
        </w:rPr>
      </w:pPr>
    </w:p>
    <w:p>
      <w:pPr>
        <w:pStyle w:val="2"/>
        <w:rPr>
          <w:rFonts w:hint="eastAsia" w:ascii="黑体" w:hAnsi="黑体" w:eastAsia="黑体" w:cs="黑体"/>
          <w:b w:val="0"/>
          <w:bCs/>
          <w:sz w:val="32"/>
          <w:szCs w:val="32"/>
        </w:rPr>
      </w:pPr>
    </w:p>
    <w:p>
      <w:pPr>
        <w:rPr>
          <w:rFonts w:hint="eastAsia"/>
        </w:rPr>
      </w:pPr>
    </w:p>
    <w:p>
      <w:pPr>
        <w:spacing w:line="600" w:lineRule="exact"/>
        <w:rPr>
          <w:rFonts w:hint="eastAsia" w:ascii="黑体" w:hAnsi="黑体" w:eastAsia="黑体" w:cs="黑体"/>
          <w:b w:val="0"/>
          <w:bCs/>
          <w:sz w:val="32"/>
          <w:szCs w:val="32"/>
        </w:rPr>
      </w:pPr>
      <w:r>
        <w:rPr>
          <w:rFonts w:hint="eastAsia" w:ascii="黑体" w:hAnsi="黑体" w:eastAsia="黑体" w:cs="黑体"/>
          <w:b w:val="0"/>
          <w:bCs/>
          <w:sz w:val="32"/>
          <w:szCs w:val="32"/>
        </w:rPr>
        <w:t>附件1</w:t>
      </w:r>
    </w:p>
    <w:p>
      <w:pPr>
        <w:adjustRightInd w:val="0"/>
        <w:snapToGrid w:val="0"/>
        <w:spacing w:line="60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疫苗安全事件分级标准和响应级别</w:t>
      </w:r>
    </w:p>
    <w:tbl>
      <w:tblPr>
        <w:tblStyle w:val="8"/>
        <w:tblpPr w:leftFromText="181" w:rightFromText="181" w:vertAnchor="text" w:horzAnchor="page" w:tblpXSpec="center" w:tblpY="221"/>
        <w:tblOverlap w:val="never"/>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5"/>
        <w:gridCol w:w="6255"/>
        <w:gridCol w:w="1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365" w:type="dxa"/>
            <w:noWrap w:val="0"/>
            <w:vAlign w:val="center"/>
          </w:tcPr>
          <w:p>
            <w:pPr>
              <w:keepNext w:val="0"/>
              <w:keepLines w:val="0"/>
              <w:pageBreakBefore w:val="0"/>
              <w:widowControl w:val="0"/>
              <w:kinsoku/>
              <w:wordWrap/>
              <w:overflowPunct/>
              <w:topLinePunct w:val="0"/>
              <w:autoSpaceDE/>
              <w:autoSpaceDN/>
              <w:bidi w:val="0"/>
              <w:adjustRightInd/>
              <w:snapToGrid w:val="0"/>
              <w:spacing w:line="440" w:lineRule="exact"/>
              <w:ind w:left="-42" w:leftChars="-20" w:right="-42" w:rightChars="-20"/>
              <w:jc w:val="center"/>
              <w:textAlignment w:val="auto"/>
              <w:rPr>
                <w:rFonts w:hint="eastAsia" w:ascii="黑体" w:hAnsi="黑体" w:eastAsia="黑体" w:cs="黑体"/>
                <w:b w:val="0"/>
                <w:bCs/>
                <w:sz w:val="30"/>
                <w:szCs w:val="30"/>
              </w:rPr>
            </w:pPr>
            <w:r>
              <w:rPr>
                <w:rFonts w:hint="eastAsia" w:ascii="黑体" w:hAnsi="黑体" w:eastAsia="黑体" w:cs="黑体"/>
                <w:b w:val="0"/>
                <w:bCs/>
                <w:sz w:val="30"/>
                <w:szCs w:val="30"/>
              </w:rPr>
              <w:t>事件类别</w:t>
            </w:r>
          </w:p>
        </w:tc>
        <w:tc>
          <w:tcPr>
            <w:tcW w:w="6255" w:type="dxa"/>
            <w:noWrap w:val="0"/>
            <w:vAlign w:val="center"/>
          </w:tcPr>
          <w:p>
            <w:pPr>
              <w:keepNext w:val="0"/>
              <w:keepLines w:val="0"/>
              <w:pageBreakBefore w:val="0"/>
              <w:widowControl w:val="0"/>
              <w:kinsoku/>
              <w:wordWrap/>
              <w:overflowPunct/>
              <w:topLinePunct w:val="0"/>
              <w:autoSpaceDE/>
              <w:autoSpaceDN/>
              <w:bidi w:val="0"/>
              <w:adjustRightInd/>
              <w:snapToGrid w:val="0"/>
              <w:spacing w:line="440" w:lineRule="exact"/>
              <w:ind w:left="-42" w:leftChars="-20" w:right="-42" w:rightChars="-20"/>
              <w:jc w:val="center"/>
              <w:textAlignment w:val="auto"/>
              <w:rPr>
                <w:rFonts w:hint="eastAsia" w:ascii="黑体" w:hAnsi="黑体" w:eastAsia="黑体" w:cs="黑体"/>
                <w:b w:val="0"/>
                <w:bCs/>
                <w:sz w:val="30"/>
                <w:szCs w:val="30"/>
              </w:rPr>
            </w:pPr>
            <w:r>
              <w:rPr>
                <w:rFonts w:hint="eastAsia" w:ascii="黑体" w:hAnsi="黑体" w:eastAsia="黑体" w:cs="黑体"/>
                <w:b w:val="0"/>
                <w:bCs/>
                <w:sz w:val="30"/>
                <w:szCs w:val="30"/>
              </w:rPr>
              <w:t>分</w:t>
            </w:r>
            <w:r>
              <w:rPr>
                <w:rFonts w:hint="eastAsia" w:ascii="黑体" w:hAnsi="黑体" w:eastAsia="黑体" w:cs="黑体"/>
                <w:b w:val="0"/>
                <w:bCs/>
                <w:sz w:val="30"/>
                <w:szCs w:val="30"/>
                <w:lang w:val="en-US" w:eastAsia="zh-CN"/>
              </w:rPr>
              <w:t xml:space="preserve">  </w:t>
            </w:r>
            <w:r>
              <w:rPr>
                <w:rFonts w:hint="eastAsia" w:ascii="黑体" w:hAnsi="黑体" w:eastAsia="黑体" w:cs="黑体"/>
                <w:b w:val="0"/>
                <w:bCs/>
                <w:sz w:val="30"/>
                <w:szCs w:val="30"/>
              </w:rPr>
              <w:t>级</w:t>
            </w:r>
            <w:r>
              <w:rPr>
                <w:rFonts w:hint="eastAsia" w:ascii="黑体" w:hAnsi="黑体" w:eastAsia="黑体" w:cs="黑体"/>
                <w:b w:val="0"/>
                <w:bCs/>
                <w:sz w:val="30"/>
                <w:szCs w:val="30"/>
                <w:lang w:val="en-US" w:eastAsia="zh-CN"/>
              </w:rPr>
              <w:t xml:space="preserve">  </w:t>
            </w:r>
            <w:r>
              <w:rPr>
                <w:rFonts w:hint="eastAsia" w:ascii="黑体" w:hAnsi="黑体" w:eastAsia="黑体" w:cs="黑体"/>
                <w:b w:val="0"/>
                <w:bCs/>
                <w:sz w:val="30"/>
                <w:szCs w:val="30"/>
              </w:rPr>
              <w:t>标</w:t>
            </w:r>
            <w:r>
              <w:rPr>
                <w:rFonts w:hint="eastAsia" w:ascii="黑体" w:hAnsi="黑体" w:eastAsia="黑体" w:cs="黑体"/>
                <w:b w:val="0"/>
                <w:bCs/>
                <w:sz w:val="30"/>
                <w:szCs w:val="30"/>
                <w:lang w:val="en-US" w:eastAsia="zh-CN"/>
              </w:rPr>
              <w:t xml:space="preserve">  </w:t>
            </w:r>
            <w:r>
              <w:rPr>
                <w:rFonts w:hint="eastAsia" w:ascii="黑体" w:hAnsi="黑体" w:eastAsia="黑体" w:cs="黑体"/>
                <w:b w:val="0"/>
                <w:bCs/>
                <w:sz w:val="30"/>
                <w:szCs w:val="30"/>
              </w:rPr>
              <w:t>准</w:t>
            </w:r>
          </w:p>
        </w:tc>
        <w:tc>
          <w:tcPr>
            <w:tcW w:w="1363" w:type="dxa"/>
            <w:noWrap w:val="0"/>
            <w:vAlign w:val="center"/>
          </w:tcPr>
          <w:p>
            <w:pPr>
              <w:keepNext w:val="0"/>
              <w:keepLines w:val="0"/>
              <w:pageBreakBefore w:val="0"/>
              <w:widowControl w:val="0"/>
              <w:kinsoku/>
              <w:wordWrap/>
              <w:overflowPunct/>
              <w:topLinePunct w:val="0"/>
              <w:autoSpaceDE/>
              <w:autoSpaceDN/>
              <w:bidi w:val="0"/>
              <w:adjustRightInd/>
              <w:snapToGrid w:val="0"/>
              <w:spacing w:line="440" w:lineRule="exact"/>
              <w:ind w:left="-42" w:leftChars="-20" w:right="-42" w:rightChars="-20"/>
              <w:jc w:val="center"/>
              <w:textAlignment w:val="auto"/>
              <w:rPr>
                <w:rFonts w:hint="eastAsia" w:ascii="黑体" w:hAnsi="黑体" w:eastAsia="黑体" w:cs="黑体"/>
                <w:b w:val="0"/>
                <w:bCs/>
                <w:sz w:val="30"/>
                <w:szCs w:val="30"/>
              </w:rPr>
            </w:pPr>
            <w:r>
              <w:rPr>
                <w:rFonts w:hint="eastAsia" w:ascii="黑体" w:hAnsi="黑体" w:eastAsia="黑体" w:cs="黑体"/>
                <w:b w:val="0"/>
                <w:bCs/>
                <w:sz w:val="30"/>
                <w:szCs w:val="30"/>
              </w:rPr>
              <w:t>分级响应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5" w:hRule="atLeast"/>
        </w:trPr>
        <w:tc>
          <w:tcPr>
            <w:tcW w:w="1365"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ind w:left="-42" w:leftChars="-20" w:right="-42" w:rightChars="-20"/>
              <w:jc w:val="center"/>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特别重大疫苗安全事件</w:t>
            </w:r>
          </w:p>
        </w:tc>
        <w:tc>
          <w:tcPr>
            <w:tcW w:w="6255"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ind w:left="-42" w:leftChars="-20" w:right="-42" w:rightChars="-20" w:firstLine="548" w:firstLineChars="196"/>
              <w:jc w:val="left"/>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符合下列情形之一的：</w:t>
            </w:r>
          </w:p>
          <w:p>
            <w:pPr>
              <w:keepNext w:val="0"/>
              <w:keepLines w:val="0"/>
              <w:pageBreakBefore w:val="0"/>
              <w:widowControl w:val="0"/>
              <w:kinsoku/>
              <w:wordWrap/>
              <w:overflowPunct/>
              <w:topLinePunct w:val="0"/>
              <w:autoSpaceDE/>
              <w:autoSpaceDN/>
              <w:bidi w:val="0"/>
              <w:adjustRightInd/>
              <w:snapToGrid w:val="0"/>
              <w:spacing w:line="360" w:lineRule="exact"/>
              <w:ind w:left="-42" w:leftChars="-20" w:right="-42" w:rightChars="-20" w:firstLine="548" w:firstLineChars="196"/>
              <w:jc w:val="left"/>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1．同一批号疫苗</w:t>
            </w:r>
            <w:r>
              <w:rPr>
                <w:rFonts w:hint="eastAsia" w:ascii="仿宋_GB2312" w:hAnsi="仿宋_GB2312" w:eastAsia="仿宋_GB2312" w:cs="仿宋_GB2312"/>
                <w:b w:val="0"/>
                <w:bCs/>
                <w:sz w:val="28"/>
                <w:szCs w:val="28"/>
                <w:lang w:eastAsia="zh-CN"/>
              </w:rPr>
              <w:t>短期内</w:t>
            </w:r>
            <w:r>
              <w:rPr>
                <w:rFonts w:hint="eastAsia" w:ascii="仿宋_GB2312" w:hAnsi="仿宋_GB2312" w:eastAsia="仿宋_GB2312" w:cs="仿宋_GB2312"/>
                <w:b w:val="0"/>
                <w:bCs/>
                <w:sz w:val="28"/>
                <w:szCs w:val="28"/>
              </w:rPr>
              <w:t>引起5例</w:t>
            </w:r>
            <w:r>
              <w:rPr>
                <w:rFonts w:hint="eastAsia" w:ascii="仿宋_GB2312" w:hAnsi="仿宋_GB2312" w:eastAsia="仿宋_GB2312" w:cs="仿宋_GB2312"/>
                <w:b w:val="0"/>
                <w:bCs/>
                <w:sz w:val="28"/>
                <w:szCs w:val="28"/>
                <w:lang w:eastAsia="zh-CN"/>
              </w:rPr>
              <w:t>及</w:t>
            </w:r>
            <w:r>
              <w:rPr>
                <w:rFonts w:hint="eastAsia" w:ascii="仿宋_GB2312" w:hAnsi="仿宋_GB2312" w:eastAsia="仿宋_GB2312" w:cs="仿宋_GB2312"/>
                <w:b w:val="0"/>
                <w:bCs/>
                <w:sz w:val="28"/>
                <w:szCs w:val="28"/>
              </w:rPr>
              <w:t>以上患者死亡，疑似与质量相关的事件；</w:t>
            </w:r>
          </w:p>
          <w:p>
            <w:pPr>
              <w:keepNext w:val="0"/>
              <w:keepLines w:val="0"/>
              <w:pageBreakBefore w:val="0"/>
              <w:widowControl w:val="0"/>
              <w:kinsoku/>
              <w:wordWrap/>
              <w:overflowPunct/>
              <w:topLinePunct w:val="0"/>
              <w:autoSpaceDE/>
              <w:autoSpaceDN/>
              <w:bidi w:val="0"/>
              <w:adjustRightInd/>
              <w:snapToGrid w:val="0"/>
              <w:spacing w:line="360" w:lineRule="exact"/>
              <w:ind w:left="-42" w:leftChars="-20" w:right="-42" w:rightChars="-20" w:firstLine="548" w:firstLineChars="196"/>
              <w:jc w:val="left"/>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2．在相对集中的时间和区域内，批号相对集中的同一疫苗引起临床表现相似的，且罕见或非预期的不良事件的人数超过20人；或者引起特别严重不良事件（可能对人体造成永久性伤残、对器官功能造成永久性损伤或危及生命）</w:t>
            </w:r>
            <w:r>
              <w:rPr>
                <w:rFonts w:hint="eastAsia" w:ascii="仿宋_GB2312" w:hAnsi="仿宋_GB2312" w:eastAsia="仿宋_GB2312" w:cs="仿宋_GB2312"/>
                <w:b w:val="0"/>
                <w:bCs/>
                <w:sz w:val="28"/>
                <w:szCs w:val="28"/>
                <w:lang w:eastAsia="zh-CN"/>
              </w:rPr>
              <w:t>的人数</w:t>
            </w:r>
            <w:r>
              <w:rPr>
                <w:rFonts w:hint="eastAsia" w:ascii="仿宋_GB2312" w:hAnsi="仿宋_GB2312" w:eastAsia="仿宋_GB2312" w:cs="仿宋_GB2312"/>
                <w:b w:val="0"/>
                <w:bCs/>
                <w:sz w:val="28"/>
                <w:szCs w:val="28"/>
              </w:rPr>
              <w:t>超过5人，疑似与质量相关的事件；</w:t>
            </w:r>
          </w:p>
          <w:p>
            <w:pPr>
              <w:keepNext w:val="0"/>
              <w:keepLines w:val="0"/>
              <w:pageBreakBefore w:val="0"/>
              <w:widowControl w:val="0"/>
              <w:kinsoku/>
              <w:wordWrap/>
              <w:overflowPunct/>
              <w:topLinePunct w:val="0"/>
              <w:autoSpaceDE/>
              <w:autoSpaceDN/>
              <w:bidi w:val="0"/>
              <w:adjustRightInd/>
              <w:snapToGrid w:val="0"/>
              <w:spacing w:line="360" w:lineRule="exact"/>
              <w:ind w:left="-42" w:leftChars="-20" w:right="-42" w:rightChars="-20" w:firstLine="548" w:firstLineChars="196"/>
              <w:jc w:val="left"/>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3．其他危害特别严重且引发社会影响的疫苗安全</w:t>
            </w:r>
            <w:r>
              <w:rPr>
                <w:rFonts w:hint="eastAsia" w:ascii="仿宋_GB2312" w:hAnsi="仿宋_GB2312" w:eastAsia="仿宋_GB2312" w:cs="仿宋_GB2312"/>
                <w:b w:val="0"/>
                <w:bCs/>
                <w:sz w:val="28"/>
                <w:szCs w:val="28"/>
                <w:lang w:eastAsia="zh-CN"/>
              </w:rPr>
              <w:t>突发</w:t>
            </w:r>
            <w:r>
              <w:rPr>
                <w:rFonts w:hint="eastAsia" w:ascii="仿宋_GB2312" w:hAnsi="仿宋_GB2312" w:eastAsia="仿宋_GB2312" w:cs="仿宋_GB2312"/>
                <w:b w:val="0"/>
                <w:bCs/>
                <w:sz w:val="28"/>
                <w:szCs w:val="28"/>
              </w:rPr>
              <w:t>事件。</w:t>
            </w:r>
          </w:p>
        </w:tc>
        <w:tc>
          <w:tcPr>
            <w:tcW w:w="1363"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ind w:left="-42" w:leftChars="-20" w:right="-42" w:rightChars="-20"/>
              <w:jc w:val="center"/>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Ι级响应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0" w:hRule="atLeast"/>
        </w:trPr>
        <w:tc>
          <w:tcPr>
            <w:tcW w:w="1365"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ind w:left="-42" w:leftChars="-20" w:right="-42" w:rightChars="-20"/>
              <w:jc w:val="center"/>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重大疫苗安全事件</w:t>
            </w:r>
          </w:p>
        </w:tc>
        <w:tc>
          <w:tcPr>
            <w:tcW w:w="6255"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ind w:left="-42" w:leftChars="-20" w:right="-42" w:rightChars="-20" w:firstLine="560" w:firstLineChars="200"/>
              <w:jc w:val="left"/>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符合下列情形之一的：</w:t>
            </w:r>
          </w:p>
          <w:p>
            <w:pPr>
              <w:keepNext w:val="0"/>
              <w:keepLines w:val="0"/>
              <w:pageBreakBefore w:val="0"/>
              <w:widowControl w:val="0"/>
              <w:kinsoku/>
              <w:wordWrap/>
              <w:overflowPunct/>
              <w:topLinePunct w:val="0"/>
              <w:autoSpaceDE/>
              <w:autoSpaceDN/>
              <w:bidi w:val="0"/>
              <w:adjustRightInd/>
              <w:snapToGrid w:val="0"/>
              <w:spacing w:line="360" w:lineRule="exact"/>
              <w:ind w:left="-42" w:leftChars="-20" w:right="-42" w:rightChars="-20" w:firstLine="548" w:firstLineChars="196"/>
              <w:jc w:val="left"/>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1．同一批号疫苗</w:t>
            </w:r>
            <w:r>
              <w:rPr>
                <w:rFonts w:hint="eastAsia" w:ascii="仿宋_GB2312" w:hAnsi="仿宋_GB2312" w:eastAsia="仿宋_GB2312" w:cs="仿宋_GB2312"/>
                <w:b w:val="0"/>
                <w:bCs/>
                <w:sz w:val="28"/>
                <w:szCs w:val="28"/>
                <w:lang w:eastAsia="zh-CN"/>
              </w:rPr>
              <w:t>短期内</w:t>
            </w:r>
            <w:r>
              <w:rPr>
                <w:rFonts w:hint="eastAsia" w:ascii="仿宋_GB2312" w:hAnsi="仿宋_GB2312" w:eastAsia="仿宋_GB2312" w:cs="仿宋_GB2312"/>
                <w:b w:val="0"/>
                <w:bCs/>
                <w:sz w:val="28"/>
                <w:szCs w:val="28"/>
              </w:rPr>
              <w:t>引起2例</w:t>
            </w:r>
            <w:r>
              <w:rPr>
                <w:rFonts w:hint="eastAsia" w:ascii="仿宋_GB2312" w:hAnsi="仿宋_GB2312" w:eastAsia="仿宋_GB2312" w:cs="仿宋_GB2312"/>
                <w:b w:val="0"/>
                <w:bCs/>
                <w:sz w:val="28"/>
                <w:szCs w:val="28"/>
                <w:lang w:eastAsia="zh-CN"/>
              </w:rPr>
              <w:t>及</w:t>
            </w:r>
            <w:r>
              <w:rPr>
                <w:rFonts w:hint="eastAsia" w:ascii="仿宋_GB2312" w:hAnsi="仿宋_GB2312" w:eastAsia="仿宋_GB2312" w:cs="仿宋_GB2312"/>
                <w:b w:val="0"/>
                <w:bCs/>
                <w:sz w:val="28"/>
                <w:szCs w:val="28"/>
              </w:rPr>
              <w:t>以上，5例以下患者死亡，疑似与质量相关的事件；</w:t>
            </w:r>
          </w:p>
          <w:p>
            <w:pPr>
              <w:keepNext w:val="0"/>
              <w:keepLines w:val="0"/>
              <w:pageBreakBefore w:val="0"/>
              <w:widowControl w:val="0"/>
              <w:kinsoku/>
              <w:wordWrap/>
              <w:overflowPunct/>
              <w:topLinePunct w:val="0"/>
              <w:autoSpaceDE/>
              <w:autoSpaceDN/>
              <w:bidi w:val="0"/>
              <w:adjustRightInd/>
              <w:snapToGrid w:val="0"/>
              <w:spacing w:line="360" w:lineRule="exact"/>
              <w:ind w:left="-42" w:leftChars="-20" w:right="-42" w:rightChars="-20" w:firstLine="548" w:firstLineChars="196"/>
              <w:jc w:val="left"/>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2．在相对集中的时间和区域内，批号相对集中的同一疫苗引起临床表现相似的，且罕见或非预期的不良事件的人数超过10人，不多于20人；或者引起特别严重不良事件（可能对人体造成永久性伤残、对器官功能造成永久性损伤或危及生命）</w:t>
            </w:r>
            <w:r>
              <w:rPr>
                <w:rFonts w:hint="eastAsia" w:ascii="仿宋_GB2312" w:hAnsi="仿宋_GB2312" w:eastAsia="仿宋_GB2312" w:cs="仿宋_GB2312"/>
                <w:b w:val="0"/>
                <w:bCs/>
                <w:sz w:val="28"/>
                <w:szCs w:val="28"/>
                <w:lang w:eastAsia="zh-CN"/>
              </w:rPr>
              <w:t>的人数</w:t>
            </w:r>
            <w:r>
              <w:rPr>
                <w:rFonts w:hint="eastAsia" w:ascii="仿宋_GB2312" w:hAnsi="仿宋_GB2312" w:eastAsia="仿宋_GB2312" w:cs="仿宋_GB2312"/>
                <w:b w:val="0"/>
                <w:bCs/>
                <w:sz w:val="28"/>
                <w:szCs w:val="28"/>
              </w:rPr>
              <w:t>超过3人，不多于5人，疑似与质量相关的事件；</w:t>
            </w:r>
          </w:p>
          <w:p>
            <w:pPr>
              <w:keepNext w:val="0"/>
              <w:keepLines w:val="0"/>
              <w:pageBreakBefore w:val="0"/>
              <w:widowControl w:val="0"/>
              <w:kinsoku/>
              <w:wordWrap/>
              <w:overflowPunct/>
              <w:topLinePunct w:val="0"/>
              <w:autoSpaceDE/>
              <w:autoSpaceDN/>
              <w:bidi w:val="0"/>
              <w:adjustRightInd/>
              <w:snapToGrid w:val="0"/>
              <w:spacing w:line="360" w:lineRule="exact"/>
              <w:ind w:left="-42" w:leftChars="-20" w:right="-42" w:rightChars="-20" w:firstLine="560" w:firstLineChars="200"/>
              <w:jc w:val="left"/>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3．确认出现质量问题，涉及2个</w:t>
            </w:r>
            <w:r>
              <w:rPr>
                <w:rFonts w:hint="eastAsia" w:ascii="仿宋_GB2312" w:hAnsi="仿宋_GB2312" w:eastAsia="仿宋_GB2312" w:cs="仿宋_GB2312"/>
                <w:b w:val="0"/>
                <w:bCs/>
                <w:sz w:val="28"/>
                <w:szCs w:val="28"/>
                <w:lang w:eastAsia="zh-CN"/>
              </w:rPr>
              <w:t>及以上</w:t>
            </w:r>
            <w:r>
              <w:rPr>
                <w:rFonts w:hint="eastAsia" w:ascii="仿宋_GB2312" w:hAnsi="仿宋_GB2312" w:eastAsia="仿宋_GB2312" w:cs="仿宋_GB2312"/>
                <w:b w:val="0"/>
                <w:bCs/>
                <w:sz w:val="28"/>
                <w:szCs w:val="28"/>
              </w:rPr>
              <w:t>省份的；</w:t>
            </w:r>
          </w:p>
          <w:p>
            <w:pPr>
              <w:keepNext w:val="0"/>
              <w:keepLines w:val="0"/>
              <w:pageBreakBefore w:val="0"/>
              <w:widowControl w:val="0"/>
              <w:kinsoku/>
              <w:wordWrap/>
              <w:overflowPunct/>
              <w:topLinePunct w:val="0"/>
              <w:autoSpaceDE/>
              <w:autoSpaceDN/>
              <w:bidi w:val="0"/>
              <w:adjustRightInd/>
              <w:snapToGrid w:val="0"/>
              <w:spacing w:line="360" w:lineRule="exact"/>
              <w:ind w:left="-42" w:leftChars="-20" w:right="-42" w:rightChars="-20" w:firstLine="560" w:firstLineChars="200"/>
              <w:jc w:val="left"/>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4．其他危害严重且引发社会影响的疫苗安全</w:t>
            </w:r>
            <w:r>
              <w:rPr>
                <w:rFonts w:hint="eastAsia" w:ascii="仿宋_GB2312" w:hAnsi="仿宋_GB2312" w:eastAsia="仿宋_GB2312" w:cs="仿宋_GB2312"/>
                <w:b w:val="0"/>
                <w:bCs/>
                <w:sz w:val="28"/>
                <w:szCs w:val="28"/>
                <w:lang w:eastAsia="zh-CN"/>
              </w:rPr>
              <w:t>突发</w:t>
            </w:r>
            <w:r>
              <w:rPr>
                <w:rFonts w:hint="eastAsia" w:ascii="仿宋_GB2312" w:hAnsi="仿宋_GB2312" w:eastAsia="仿宋_GB2312" w:cs="仿宋_GB2312"/>
                <w:b w:val="0"/>
                <w:bCs/>
                <w:sz w:val="28"/>
                <w:szCs w:val="28"/>
              </w:rPr>
              <w:t>事件。</w:t>
            </w:r>
          </w:p>
        </w:tc>
        <w:tc>
          <w:tcPr>
            <w:tcW w:w="1363"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ind w:left="-42" w:leftChars="-20" w:right="-42" w:rightChars="-20"/>
              <w:jc w:val="center"/>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Ⅱ级响应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365" w:type="dxa"/>
            <w:noWrap w:val="0"/>
            <w:vAlign w:val="center"/>
          </w:tcPr>
          <w:p>
            <w:pPr>
              <w:keepNext w:val="0"/>
              <w:keepLines w:val="0"/>
              <w:pageBreakBefore w:val="0"/>
              <w:widowControl w:val="0"/>
              <w:kinsoku/>
              <w:wordWrap/>
              <w:overflowPunct/>
              <w:topLinePunct w:val="0"/>
              <w:autoSpaceDE/>
              <w:autoSpaceDN/>
              <w:bidi w:val="0"/>
              <w:adjustRightInd/>
              <w:snapToGrid w:val="0"/>
              <w:spacing w:line="440" w:lineRule="exact"/>
              <w:ind w:left="-42" w:leftChars="-20" w:right="-42" w:rightChars="-20"/>
              <w:jc w:val="center"/>
              <w:textAlignment w:val="auto"/>
              <w:rPr>
                <w:rFonts w:hint="eastAsia" w:ascii="黑体" w:hAnsi="黑体" w:eastAsia="黑体" w:cs="黑体"/>
                <w:b w:val="0"/>
                <w:bCs/>
                <w:sz w:val="30"/>
                <w:szCs w:val="30"/>
              </w:rPr>
            </w:pPr>
            <w:r>
              <w:rPr>
                <w:rFonts w:hint="eastAsia" w:ascii="黑体" w:hAnsi="黑体" w:eastAsia="黑体" w:cs="黑体"/>
                <w:b w:val="0"/>
                <w:bCs/>
                <w:sz w:val="30"/>
                <w:szCs w:val="30"/>
              </w:rPr>
              <w:t>事件类别</w:t>
            </w:r>
          </w:p>
        </w:tc>
        <w:tc>
          <w:tcPr>
            <w:tcW w:w="6255" w:type="dxa"/>
            <w:noWrap w:val="0"/>
            <w:vAlign w:val="center"/>
          </w:tcPr>
          <w:p>
            <w:pPr>
              <w:keepNext w:val="0"/>
              <w:keepLines w:val="0"/>
              <w:pageBreakBefore w:val="0"/>
              <w:widowControl w:val="0"/>
              <w:kinsoku/>
              <w:wordWrap/>
              <w:overflowPunct/>
              <w:topLinePunct w:val="0"/>
              <w:autoSpaceDE/>
              <w:autoSpaceDN/>
              <w:bidi w:val="0"/>
              <w:adjustRightInd/>
              <w:snapToGrid w:val="0"/>
              <w:spacing w:line="440" w:lineRule="exact"/>
              <w:ind w:left="-42" w:leftChars="-20" w:right="-42" w:rightChars="-20"/>
              <w:jc w:val="center"/>
              <w:textAlignment w:val="auto"/>
              <w:rPr>
                <w:rFonts w:hint="eastAsia" w:ascii="黑体" w:hAnsi="黑体" w:eastAsia="黑体" w:cs="黑体"/>
                <w:b w:val="0"/>
                <w:bCs/>
                <w:sz w:val="30"/>
                <w:szCs w:val="30"/>
              </w:rPr>
            </w:pPr>
            <w:r>
              <w:rPr>
                <w:rFonts w:hint="eastAsia" w:ascii="黑体" w:hAnsi="黑体" w:eastAsia="黑体" w:cs="黑体"/>
                <w:b w:val="0"/>
                <w:bCs/>
                <w:sz w:val="30"/>
                <w:szCs w:val="30"/>
              </w:rPr>
              <w:t>分</w:t>
            </w:r>
            <w:r>
              <w:rPr>
                <w:rFonts w:hint="eastAsia" w:ascii="黑体" w:hAnsi="黑体" w:eastAsia="黑体" w:cs="黑体"/>
                <w:b w:val="0"/>
                <w:bCs/>
                <w:sz w:val="30"/>
                <w:szCs w:val="30"/>
                <w:lang w:val="en-US" w:eastAsia="zh-CN"/>
              </w:rPr>
              <w:t xml:space="preserve">  </w:t>
            </w:r>
            <w:r>
              <w:rPr>
                <w:rFonts w:hint="eastAsia" w:ascii="黑体" w:hAnsi="黑体" w:eastAsia="黑体" w:cs="黑体"/>
                <w:b w:val="0"/>
                <w:bCs/>
                <w:sz w:val="30"/>
                <w:szCs w:val="30"/>
              </w:rPr>
              <w:t>级</w:t>
            </w:r>
            <w:r>
              <w:rPr>
                <w:rFonts w:hint="eastAsia" w:ascii="黑体" w:hAnsi="黑体" w:eastAsia="黑体" w:cs="黑体"/>
                <w:b w:val="0"/>
                <w:bCs/>
                <w:sz w:val="30"/>
                <w:szCs w:val="30"/>
                <w:lang w:val="en-US" w:eastAsia="zh-CN"/>
              </w:rPr>
              <w:t xml:space="preserve">  </w:t>
            </w:r>
            <w:r>
              <w:rPr>
                <w:rFonts w:hint="eastAsia" w:ascii="黑体" w:hAnsi="黑体" w:eastAsia="黑体" w:cs="黑体"/>
                <w:b w:val="0"/>
                <w:bCs/>
                <w:sz w:val="30"/>
                <w:szCs w:val="30"/>
              </w:rPr>
              <w:t>标</w:t>
            </w:r>
            <w:r>
              <w:rPr>
                <w:rFonts w:hint="eastAsia" w:ascii="黑体" w:hAnsi="黑体" w:eastAsia="黑体" w:cs="黑体"/>
                <w:b w:val="0"/>
                <w:bCs/>
                <w:sz w:val="30"/>
                <w:szCs w:val="30"/>
                <w:lang w:val="en-US" w:eastAsia="zh-CN"/>
              </w:rPr>
              <w:t xml:space="preserve">  </w:t>
            </w:r>
            <w:r>
              <w:rPr>
                <w:rFonts w:hint="eastAsia" w:ascii="黑体" w:hAnsi="黑体" w:eastAsia="黑体" w:cs="黑体"/>
                <w:b w:val="0"/>
                <w:bCs/>
                <w:sz w:val="30"/>
                <w:szCs w:val="30"/>
              </w:rPr>
              <w:t>准</w:t>
            </w:r>
          </w:p>
        </w:tc>
        <w:tc>
          <w:tcPr>
            <w:tcW w:w="1363" w:type="dxa"/>
            <w:noWrap w:val="0"/>
            <w:vAlign w:val="center"/>
          </w:tcPr>
          <w:p>
            <w:pPr>
              <w:keepNext w:val="0"/>
              <w:keepLines w:val="0"/>
              <w:pageBreakBefore w:val="0"/>
              <w:widowControl w:val="0"/>
              <w:kinsoku/>
              <w:wordWrap/>
              <w:overflowPunct/>
              <w:topLinePunct w:val="0"/>
              <w:autoSpaceDE/>
              <w:autoSpaceDN/>
              <w:bidi w:val="0"/>
              <w:adjustRightInd/>
              <w:snapToGrid w:val="0"/>
              <w:spacing w:line="440" w:lineRule="exact"/>
              <w:ind w:left="-42" w:leftChars="-20" w:right="-42" w:rightChars="-20"/>
              <w:jc w:val="center"/>
              <w:textAlignment w:val="auto"/>
              <w:rPr>
                <w:rFonts w:hint="eastAsia" w:ascii="黑体" w:hAnsi="黑体" w:eastAsia="黑体" w:cs="黑体"/>
                <w:b w:val="0"/>
                <w:bCs/>
                <w:sz w:val="30"/>
                <w:szCs w:val="30"/>
              </w:rPr>
            </w:pPr>
            <w:r>
              <w:rPr>
                <w:rFonts w:hint="eastAsia" w:ascii="黑体" w:hAnsi="黑体" w:eastAsia="黑体" w:cs="黑体"/>
                <w:b w:val="0"/>
                <w:bCs/>
                <w:sz w:val="30"/>
                <w:szCs w:val="30"/>
              </w:rPr>
              <w:t>分级响应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5" w:hRule="atLeast"/>
        </w:trPr>
        <w:tc>
          <w:tcPr>
            <w:tcW w:w="1365" w:type="dxa"/>
            <w:noWrap w:val="0"/>
            <w:vAlign w:val="center"/>
          </w:tcPr>
          <w:p>
            <w:pPr>
              <w:keepNext w:val="0"/>
              <w:keepLines w:val="0"/>
              <w:pageBreakBefore w:val="0"/>
              <w:widowControl w:val="0"/>
              <w:kinsoku/>
              <w:wordWrap/>
              <w:overflowPunct/>
              <w:topLinePunct w:val="0"/>
              <w:autoSpaceDE/>
              <w:autoSpaceDN/>
              <w:bidi w:val="0"/>
              <w:adjustRightInd/>
              <w:snapToGrid w:val="0"/>
              <w:spacing w:line="440" w:lineRule="exact"/>
              <w:ind w:left="-42" w:leftChars="-20" w:right="-42" w:rightChars="-20"/>
              <w:jc w:val="center"/>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较大疫苗安全事件</w:t>
            </w:r>
          </w:p>
        </w:tc>
        <w:tc>
          <w:tcPr>
            <w:tcW w:w="6255" w:type="dxa"/>
            <w:noWrap w:val="0"/>
            <w:vAlign w:val="center"/>
          </w:tcPr>
          <w:p>
            <w:pPr>
              <w:keepNext w:val="0"/>
              <w:keepLines w:val="0"/>
              <w:pageBreakBefore w:val="0"/>
              <w:widowControl w:val="0"/>
              <w:kinsoku/>
              <w:wordWrap/>
              <w:overflowPunct/>
              <w:topLinePunct w:val="0"/>
              <w:autoSpaceDE/>
              <w:autoSpaceDN/>
              <w:bidi w:val="0"/>
              <w:adjustRightInd/>
              <w:snapToGrid w:val="0"/>
              <w:spacing w:line="440" w:lineRule="exact"/>
              <w:ind w:left="-42" w:leftChars="-20" w:right="-42" w:rightChars="-20" w:firstLine="560" w:firstLineChars="200"/>
              <w:jc w:val="left"/>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符合下列情形之一的：</w:t>
            </w:r>
          </w:p>
          <w:p>
            <w:pPr>
              <w:keepNext w:val="0"/>
              <w:keepLines w:val="0"/>
              <w:pageBreakBefore w:val="0"/>
              <w:widowControl w:val="0"/>
              <w:kinsoku/>
              <w:wordWrap/>
              <w:overflowPunct/>
              <w:topLinePunct w:val="0"/>
              <w:autoSpaceDE/>
              <w:autoSpaceDN/>
              <w:bidi w:val="0"/>
              <w:adjustRightInd/>
              <w:snapToGrid w:val="0"/>
              <w:spacing w:line="440" w:lineRule="exact"/>
              <w:ind w:left="-42" w:leftChars="-20" w:right="-42" w:rightChars="-20" w:firstLine="548" w:firstLineChars="196"/>
              <w:jc w:val="left"/>
              <w:textAlignment w:val="auto"/>
              <w:rPr>
                <w:rFonts w:hint="eastAsia" w:ascii="仿宋_GB2312" w:hAnsi="仿宋_GB2312" w:eastAsia="仿宋_GB2312" w:cs="仿宋_GB2312"/>
                <w:b w:val="0"/>
                <w:bCs/>
                <w:spacing w:val="-6"/>
                <w:sz w:val="28"/>
                <w:szCs w:val="28"/>
              </w:rPr>
            </w:pPr>
            <w:r>
              <w:rPr>
                <w:rFonts w:hint="eastAsia" w:ascii="仿宋_GB2312" w:hAnsi="仿宋_GB2312" w:eastAsia="仿宋_GB2312" w:cs="仿宋_GB2312"/>
                <w:b w:val="0"/>
                <w:bCs/>
                <w:sz w:val="28"/>
                <w:szCs w:val="28"/>
              </w:rPr>
              <w:t>1．</w:t>
            </w:r>
            <w:r>
              <w:rPr>
                <w:rFonts w:hint="eastAsia" w:ascii="仿宋_GB2312" w:hAnsi="仿宋_GB2312" w:eastAsia="仿宋_GB2312" w:cs="仿宋_GB2312"/>
                <w:b w:val="0"/>
                <w:bCs/>
                <w:spacing w:val="-6"/>
                <w:sz w:val="28"/>
                <w:szCs w:val="28"/>
              </w:rPr>
              <w:t>同一批号疫苗引起</w:t>
            </w:r>
            <w:r>
              <w:rPr>
                <w:rFonts w:hint="eastAsia" w:ascii="仿宋_GB2312" w:hAnsi="仿宋_GB2312" w:eastAsia="仿宋_GB2312" w:cs="仿宋_GB2312"/>
                <w:b w:val="0"/>
                <w:bCs/>
                <w:spacing w:val="-6"/>
                <w:sz w:val="28"/>
                <w:szCs w:val="28"/>
                <w:lang w:val="en-US" w:eastAsia="zh-CN"/>
              </w:rPr>
              <w:t>1</w:t>
            </w:r>
            <w:r>
              <w:rPr>
                <w:rFonts w:hint="eastAsia" w:ascii="仿宋_GB2312" w:hAnsi="仿宋_GB2312" w:eastAsia="仿宋_GB2312" w:cs="仿宋_GB2312"/>
                <w:b w:val="0"/>
                <w:bCs/>
                <w:spacing w:val="-6"/>
                <w:sz w:val="28"/>
                <w:szCs w:val="28"/>
              </w:rPr>
              <w:t>例患者死亡，疑似与质量相关的事件；</w:t>
            </w:r>
          </w:p>
          <w:p>
            <w:pPr>
              <w:keepNext w:val="0"/>
              <w:keepLines w:val="0"/>
              <w:pageBreakBefore w:val="0"/>
              <w:widowControl w:val="0"/>
              <w:kinsoku/>
              <w:wordWrap/>
              <w:overflowPunct/>
              <w:topLinePunct w:val="0"/>
              <w:autoSpaceDE/>
              <w:autoSpaceDN/>
              <w:bidi w:val="0"/>
              <w:adjustRightInd/>
              <w:snapToGrid w:val="0"/>
              <w:spacing w:line="440" w:lineRule="exact"/>
              <w:ind w:left="-42" w:leftChars="-20" w:right="-42" w:rightChars="-20" w:firstLine="548" w:firstLineChars="196"/>
              <w:jc w:val="left"/>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2．在相对集中的时间和区域内，批号相对集中的同一疫苗引起临床表现相似的，且罕见或非预期的不良事件的人数超过5人，不多于10人；或者引起特别严重不良事件（可能对人体造成永久性伤残、对器官功能造成永久性损伤或危及生命）</w:t>
            </w:r>
            <w:r>
              <w:rPr>
                <w:rFonts w:hint="eastAsia" w:ascii="仿宋_GB2312" w:hAnsi="仿宋_GB2312" w:eastAsia="仿宋_GB2312" w:cs="仿宋_GB2312"/>
                <w:b w:val="0"/>
                <w:bCs/>
                <w:sz w:val="28"/>
                <w:szCs w:val="28"/>
                <w:lang w:eastAsia="zh-CN"/>
              </w:rPr>
              <w:t>的人数为</w:t>
            </w:r>
            <w:r>
              <w:rPr>
                <w:rFonts w:hint="eastAsia" w:ascii="仿宋_GB2312" w:hAnsi="仿宋_GB2312" w:eastAsia="仿宋_GB2312" w:cs="仿宋_GB2312"/>
                <w:b w:val="0"/>
                <w:bCs/>
                <w:sz w:val="28"/>
                <w:szCs w:val="28"/>
                <w:lang w:val="en-US" w:eastAsia="zh-CN"/>
              </w:rPr>
              <w:t>3</w:t>
            </w:r>
            <w:r>
              <w:rPr>
                <w:rFonts w:hint="eastAsia" w:ascii="仿宋_GB2312" w:hAnsi="仿宋_GB2312" w:eastAsia="仿宋_GB2312" w:cs="仿宋_GB2312"/>
                <w:b w:val="0"/>
                <w:bCs/>
                <w:sz w:val="28"/>
                <w:szCs w:val="28"/>
              </w:rPr>
              <w:t>人，疑似与质量相关的事件；</w:t>
            </w:r>
          </w:p>
          <w:p>
            <w:pPr>
              <w:keepNext w:val="0"/>
              <w:keepLines w:val="0"/>
              <w:pageBreakBefore w:val="0"/>
              <w:widowControl w:val="0"/>
              <w:kinsoku/>
              <w:wordWrap/>
              <w:overflowPunct/>
              <w:topLinePunct w:val="0"/>
              <w:autoSpaceDE/>
              <w:autoSpaceDN/>
              <w:bidi w:val="0"/>
              <w:adjustRightInd/>
              <w:snapToGrid w:val="0"/>
              <w:spacing w:line="440" w:lineRule="exact"/>
              <w:ind w:left="-42" w:leftChars="-20" w:right="-42" w:rightChars="-20" w:firstLine="548" w:firstLineChars="196"/>
              <w:jc w:val="left"/>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3．确认出现质量问题，</w:t>
            </w:r>
            <w:r>
              <w:rPr>
                <w:rFonts w:hint="eastAsia" w:ascii="仿宋_GB2312" w:hAnsi="仿宋_GB2312" w:eastAsia="仿宋_GB2312" w:cs="仿宋_GB2312"/>
                <w:b w:val="0"/>
                <w:bCs/>
                <w:sz w:val="28"/>
                <w:szCs w:val="28"/>
                <w:lang w:eastAsia="zh-CN"/>
              </w:rPr>
              <w:t>且只涉及我省</w:t>
            </w:r>
            <w:r>
              <w:rPr>
                <w:rFonts w:hint="eastAsia" w:ascii="仿宋_GB2312" w:hAnsi="仿宋_GB2312" w:eastAsia="仿宋_GB2312" w:cs="仿宋_GB2312"/>
                <w:b w:val="0"/>
                <w:bCs/>
                <w:sz w:val="28"/>
                <w:szCs w:val="28"/>
              </w:rPr>
              <w:t>的；</w:t>
            </w:r>
          </w:p>
          <w:p>
            <w:pPr>
              <w:keepNext w:val="0"/>
              <w:keepLines w:val="0"/>
              <w:pageBreakBefore w:val="0"/>
              <w:widowControl w:val="0"/>
              <w:kinsoku/>
              <w:wordWrap/>
              <w:overflowPunct/>
              <w:topLinePunct w:val="0"/>
              <w:autoSpaceDE/>
              <w:autoSpaceDN/>
              <w:bidi w:val="0"/>
              <w:adjustRightInd/>
              <w:snapToGrid w:val="0"/>
              <w:spacing w:line="440" w:lineRule="exact"/>
              <w:ind w:left="-42" w:leftChars="-20" w:right="-42" w:rightChars="-20" w:firstLine="548" w:firstLineChars="196"/>
              <w:jc w:val="left"/>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4．其他危害较大且引发社会影响局限于</w:t>
            </w:r>
            <w:r>
              <w:rPr>
                <w:rFonts w:hint="eastAsia" w:ascii="仿宋_GB2312" w:hAnsi="仿宋_GB2312" w:eastAsia="仿宋_GB2312" w:cs="仿宋_GB2312"/>
                <w:b w:val="0"/>
                <w:bCs/>
                <w:sz w:val="28"/>
                <w:szCs w:val="28"/>
                <w:lang w:eastAsia="zh-CN"/>
              </w:rPr>
              <w:t>我省</w:t>
            </w:r>
            <w:r>
              <w:rPr>
                <w:rFonts w:hint="eastAsia" w:ascii="仿宋_GB2312" w:hAnsi="仿宋_GB2312" w:eastAsia="仿宋_GB2312" w:cs="仿宋_GB2312"/>
                <w:b w:val="0"/>
                <w:bCs/>
                <w:sz w:val="28"/>
                <w:szCs w:val="28"/>
              </w:rPr>
              <w:t>的疫苗安全</w:t>
            </w:r>
            <w:r>
              <w:rPr>
                <w:rFonts w:hint="eastAsia" w:ascii="仿宋_GB2312" w:hAnsi="仿宋_GB2312" w:eastAsia="仿宋_GB2312" w:cs="仿宋_GB2312"/>
                <w:b w:val="0"/>
                <w:bCs/>
                <w:sz w:val="28"/>
                <w:szCs w:val="28"/>
                <w:lang w:eastAsia="zh-CN"/>
              </w:rPr>
              <w:t>突发</w:t>
            </w:r>
            <w:r>
              <w:rPr>
                <w:rFonts w:hint="eastAsia" w:ascii="仿宋_GB2312" w:hAnsi="仿宋_GB2312" w:eastAsia="仿宋_GB2312" w:cs="仿宋_GB2312"/>
                <w:b w:val="0"/>
                <w:bCs/>
                <w:sz w:val="28"/>
                <w:szCs w:val="28"/>
              </w:rPr>
              <w:t>事件。</w:t>
            </w:r>
          </w:p>
        </w:tc>
        <w:tc>
          <w:tcPr>
            <w:tcW w:w="1363" w:type="dxa"/>
            <w:noWrap w:val="0"/>
            <w:vAlign w:val="center"/>
          </w:tcPr>
          <w:p>
            <w:pPr>
              <w:keepNext w:val="0"/>
              <w:keepLines w:val="0"/>
              <w:pageBreakBefore w:val="0"/>
              <w:widowControl w:val="0"/>
              <w:kinsoku/>
              <w:wordWrap/>
              <w:overflowPunct/>
              <w:topLinePunct w:val="0"/>
              <w:autoSpaceDE/>
              <w:autoSpaceDN/>
              <w:bidi w:val="0"/>
              <w:adjustRightInd/>
              <w:snapToGrid w:val="0"/>
              <w:spacing w:line="440" w:lineRule="exact"/>
              <w:ind w:left="-42" w:leftChars="-20" w:right="-42" w:rightChars="-20"/>
              <w:jc w:val="center"/>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Ⅲ级响应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5" w:hRule="atLeast"/>
        </w:trPr>
        <w:tc>
          <w:tcPr>
            <w:tcW w:w="1365" w:type="dxa"/>
            <w:noWrap w:val="0"/>
            <w:vAlign w:val="center"/>
          </w:tcPr>
          <w:p>
            <w:pPr>
              <w:keepNext w:val="0"/>
              <w:keepLines w:val="0"/>
              <w:pageBreakBefore w:val="0"/>
              <w:widowControl w:val="0"/>
              <w:kinsoku/>
              <w:wordWrap/>
              <w:overflowPunct/>
              <w:topLinePunct w:val="0"/>
              <w:autoSpaceDE/>
              <w:autoSpaceDN/>
              <w:bidi w:val="0"/>
              <w:adjustRightInd/>
              <w:snapToGrid w:val="0"/>
              <w:spacing w:line="440" w:lineRule="exact"/>
              <w:ind w:left="-42" w:leftChars="-20" w:right="-42" w:rightChars="-20"/>
              <w:jc w:val="center"/>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一般疫苗安全事件</w:t>
            </w:r>
          </w:p>
        </w:tc>
        <w:tc>
          <w:tcPr>
            <w:tcW w:w="6255" w:type="dxa"/>
            <w:noWrap w:val="0"/>
            <w:vAlign w:val="center"/>
          </w:tcPr>
          <w:p>
            <w:pPr>
              <w:keepNext w:val="0"/>
              <w:keepLines w:val="0"/>
              <w:pageBreakBefore w:val="0"/>
              <w:widowControl w:val="0"/>
              <w:kinsoku/>
              <w:wordWrap/>
              <w:overflowPunct/>
              <w:topLinePunct w:val="0"/>
              <w:autoSpaceDE/>
              <w:autoSpaceDN/>
              <w:bidi w:val="0"/>
              <w:adjustRightInd/>
              <w:snapToGrid w:val="0"/>
              <w:spacing w:line="440" w:lineRule="exact"/>
              <w:ind w:left="-42" w:leftChars="-20" w:right="-42" w:rightChars="-20" w:firstLine="548" w:firstLineChars="196"/>
              <w:jc w:val="left"/>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符合下列情形之一的：</w:t>
            </w:r>
          </w:p>
          <w:p>
            <w:pPr>
              <w:keepNext w:val="0"/>
              <w:keepLines w:val="0"/>
              <w:pageBreakBefore w:val="0"/>
              <w:widowControl w:val="0"/>
              <w:kinsoku/>
              <w:wordWrap/>
              <w:overflowPunct/>
              <w:topLinePunct w:val="0"/>
              <w:autoSpaceDE/>
              <w:autoSpaceDN/>
              <w:bidi w:val="0"/>
              <w:adjustRightInd/>
              <w:snapToGrid w:val="0"/>
              <w:spacing w:line="440" w:lineRule="exact"/>
              <w:ind w:left="-42" w:leftChars="-20" w:right="-42" w:rightChars="-20" w:firstLine="548" w:firstLineChars="196"/>
              <w:jc w:val="left"/>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1．在相对集中的时间和区域内</w:t>
            </w:r>
            <w:r>
              <w:rPr>
                <w:rFonts w:hint="eastAsia" w:ascii="仿宋_GB2312" w:hAnsi="仿宋_GB2312" w:eastAsia="仿宋_GB2312" w:cs="仿宋_GB2312"/>
                <w:b w:val="0"/>
                <w:bCs/>
                <w:sz w:val="28"/>
                <w:szCs w:val="28"/>
                <w:lang w:eastAsia="zh-CN"/>
              </w:rPr>
              <w:t>，</w:t>
            </w:r>
            <w:r>
              <w:rPr>
                <w:rFonts w:hint="eastAsia" w:ascii="仿宋_GB2312" w:hAnsi="仿宋_GB2312" w:eastAsia="仿宋_GB2312" w:cs="仿宋_GB2312"/>
                <w:b w:val="0"/>
                <w:bCs/>
                <w:sz w:val="28"/>
                <w:szCs w:val="28"/>
              </w:rPr>
              <w:t>批号相对集中的同一疫苗引起临床表现相似的，且罕见或非预期的不良事件的人数超过3人，不多于5人；或者引起特别严重不良事件（可能对人体造成永久性伤残、对器官功能造成永久性损伤或危及生命）</w:t>
            </w:r>
            <w:r>
              <w:rPr>
                <w:rFonts w:hint="eastAsia" w:ascii="仿宋_GB2312" w:hAnsi="仿宋_GB2312" w:eastAsia="仿宋_GB2312" w:cs="仿宋_GB2312"/>
                <w:b w:val="0"/>
                <w:bCs/>
                <w:sz w:val="28"/>
                <w:szCs w:val="28"/>
                <w:lang w:eastAsia="zh-CN"/>
              </w:rPr>
              <w:t>的人数为</w:t>
            </w:r>
            <w:r>
              <w:rPr>
                <w:rFonts w:hint="eastAsia" w:ascii="仿宋_GB2312" w:hAnsi="仿宋_GB2312" w:eastAsia="仿宋_GB2312" w:cs="仿宋_GB2312"/>
                <w:b w:val="0"/>
                <w:bCs/>
                <w:sz w:val="28"/>
                <w:szCs w:val="28"/>
                <w:lang w:val="en-US" w:eastAsia="zh-CN"/>
              </w:rPr>
              <w:t>2人</w:t>
            </w:r>
            <w:r>
              <w:rPr>
                <w:rFonts w:hint="eastAsia" w:ascii="仿宋_GB2312" w:hAnsi="仿宋_GB2312" w:eastAsia="仿宋_GB2312" w:cs="仿宋_GB2312"/>
                <w:b w:val="0"/>
                <w:bCs/>
                <w:sz w:val="28"/>
                <w:szCs w:val="28"/>
              </w:rPr>
              <w:t>，疑似与质量相关的事件；</w:t>
            </w:r>
          </w:p>
          <w:p>
            <w:pPr>
              <w:keepNext w:val="0"/>
              <w:keepLines w:val="0"/>
              <w:pageBreakBefore w:val="0"/>
              <w:widowControl w:val="0"/>
              <w:kinsoku/>
              <w:wordWrap/>
              <w:overflowPunct/>
              <w:topLinePunct w:val="0"/>
              <w:autoSpaceDE/>
              <w:autoSpaceDN/>
              <w:bidi w:val="0"/>
              <w:adjustRightInd/>
              <w:snapToGrid w:val="0"/>
              <w:spacing w:line="440" w:lineRule="exact"/>
              <w:ind w:left="-42" w:leftChars="-20" w:right="-42" w:rightChars="-20" w:firstLine="560" w:firstLineChars="200"/>
              <w:jc w:val="left"/>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lang w:val="en-US" w:eastAsia="zh-CN"/>
              </w:rPr>
              <w:t>2</w:t>
            </w:r>
            <w:r>
              <w:rPr>
                <w:rFonts w:hint="eastAsia" w:ascii="仿宋_GB2312" w:hAnsi="仿宋_GB2312" w:eastAsia="仿宋_GB2312" w:cs="仿宋_GB2312"/>
                <w:b w:val="0"/>
                <w:bCs/>
                <w:sz w:val="28"/>
                <w:szCs w:val="28"/>
              </w:rPr>
              <w:t>．其他一般疫苗安全事件。</w:t>
            </w:r>
          </w:p>
        </w:tc>
        <w:tc>
          <w:tcPr>
            <w:tcW w:w="1363" w:type="dxa"/>
            <w:noWrap w:val="0"/>
            <w:vAlign w:val="center"/>
          </w:tcPr>
          <w:p>
            <w:pPr>
              <w:keepNext w:val="0"/>
              <w:keepLines w:val="0"/>
              <w:pageBreakBefore w:val="0"/>
              <w:widowControl w:val="0"/>
              <w:kinsoku/>
              <w:wordWrap/>
              <w:overflowPunct/>
              <w:topLinePunct w:val="0"/>
              <w:autoSpaceDE/>
              <w:autoSpaceDN/>
              <w:bidi w:val="0"/>
              <w:adjustRightInd/>
              <w:snapToGrid w:val="0"/>
              <w:spacing w:line="440" w:lineRule="exact"/>
              <w:ind w:left="-42" w:leftChars="-20" w:right="-42" w:rightChars="-20"/>
              <w:jc w:val="center"/>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Ⅳ级响应</w:t>
            </w:r>
          </w:p>
        </w:tc>
      </w:tr>
    </w:tbl>
    <w:p>
      <w:pPr>
        <w:spacing w:line="600" w:lineRule="exact"/>
        <w:rPr>
          <w:rFonts w:hint="eastAsia" w:ascii="仿宋_GB2312" w:hAnsi="仿宋_GB2312" w:eastAsia="仿宋_GB2312" w:cs="仿宋_GB2312"/>
          <w:b w:val="0"/>
          <w:bCs/>
          <w:sz w:val="28"/>
          <w:szCs w:val="28"/>
        </w:rPr>
      </w:pPr>
    </w:p>
    <w:p>
      <w:pPr>
        <w:keepNext w:val="0"/>
        <w:keepLines w:val="0"/>
        <w:widowControl/>
        <w:suppressLineNumbers w:val="0"/>
        <w:jc w:val="left"/>
        <w:rPr>
          <w:rFonts w:hint="eastAsia"/>
          <w:sz w:val="32"/>
          <w:szCs w:val="32"/>
        </w:rPr>
      </w:pPr>
      <w:r>
        <w:rPr>
          <w:rFonts w:hint="eastAsia" w:ascii="仿宋_GB2312" w:hAnsi="仿宋_GB2312" w:eastAsia="仿宋_GB2312" w:cs="仿宋_GB2312"/>
          <w:color w:val="000000"/>
          <w:kern w:val="0"/>
          <w:sz w:val="32"/>
          <w:szCs w:val="32"/>
          <w:lang w:val="en-US" w:eastAsia="zh-CN" w:bidi="ar"/>
        </w:rPr>
        <w:t>注：本表参照国家药品监督管理局疫苗质量安全事件应急预案（试行）制定，若有变动，按照新标准执行。</w:t>
      </w:r>
    </w:p>
    <w:p>
      <w:pPr>
        <w:spacing w:line="600" w:lineRule="exact"/>
        <w:rPr>
          <w:rFonts w:hint="eastAsia" w:ascii="黑体" w:hAnsi="黑体" w:eastAsia="黑体" w:cs="黑体"/>
          <w:b w:val="0"/>
          <w:bCs/>
          <w:sz w:val="32"/>
          <w:szCs w:val="32"/>
          <w:lang w:eastAsia="zh-CN"/>
        </w:rPr>
      </w:pPr>
      <w:r>
        <w:rPr>
          <w:rFonts w:hint="eastAsia" w:ascii="黑体" w:hAnsi="黑体" w:eastAsia="黑体" w:cs="黑体"/>
          <w:b w:val="0"/>
          <w:bCs/>
          <w:sz w:val="32"/>
          <w:szCs w:val="32"/>
        </w:rPr>
        <w:t>附件2</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6" w:lineRule="exact"/>
        <w:jc w:val="center"/>
        <w:textAlignment w:val="auto"/>
        <w:rPr>
          <w:rFonts w:hint="eastAsia" w:ascii="方正小标宋简体" w:hAnsi="方正小标宋简体" w:eastAsia="方正小标宋简体" w:cs="方正小标宋简体"/>
          <w:b w:val="0"/>
          <w:bCs/>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76"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val="en-US" w:eastAsia="zh-CN"/>
        </w:rPr>
        <w:t>开发</w:t>
      </w:r>
      <w:r>
        <w:rPr>
          <w:rFonts w:hint="eastAsia" w:ascii="方正小标宋简体" w:hAnsi="方正小标宋简体" w:eastAsia="方正小标宋简体" w:cs="方正小标宋简体"/>
          <w:b w:val="0"/>
          <w:bCs/>
          <w:sz w:val="44"/>
          <w:szCs w:val="44"/>
          <w:lang w:eastAsia="zh-CN"/>
        </w:rPr>
        <w:t>区</w:t>
      </w:r>
      <w:r>
        <w:rPr>
          <w:rFonts w:hint="eastAsia" w:ascii="方正小标宋简体" w:hAnsi="方正小标宋简体" w:eastAsia="方正小标宋简体" w:cs="方正小标宋简体"/>
          <w:b w:val="0"/>
          <w:bCs/>
          <w:sz w:val="44"/>
          <w:szCs w:val="44"/>
        </w:rPr>
        <w:t>疫苗安全事件应急指挥部</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6"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成员单位职责</w:t>
      </w:r>
    </w:p>
    <w:p>
      <w:pPr>
        <w:keepNext w:val="0"/>
        <w:keepLines w:val="0"/>
        <w:pageBreakBefore w:val="0"/>
        <w:widowControl w:val="0"/>
        <w:kinsoku/>
        <w:wordWrap/>
        <w:overflowPunct/>
        <w:topLinePunct w:val="0"/>
        <w:autoSpaceDE/>
        <w:autoSpaceDN/>
        <w:bidi w:val="0"/>
        <w:spacing w:beforeAutospacing="0" w:afterAutospacing="0" w:line="576" w:lineRule="exact"/>
        <w:ind w:firstLine="640" w:firstLineChars="200"/>
        <w:textAlignment w:val="auto"/>
        <w:rPr>
          <w:rFonts w:hint="eastAsia" w:ascii="楷体_GB2312" w:hAnsi="楷体_GB2312" w:eastAsia="楷体_GB2312" w:cs="楷体_GB2312"/>
          <w:b w:val="0"/>
          <w:bCs/>
          <w:sz w:val="32"/>
          <w:szCs w:val="32"/>
          <w:lang w:val="en-US" w:eastAsia="zh-CN"/>
        </w:rPr>
      </w:pPr>
    </w:p>
    <w:p>
      <w:pPr>
        <w:keepNext w:val="0"/>
        <w:keepLines w:val="0"/>
        <w:pageBreakBefore w:val="0"/>
        <w:widowControl w:val="0"/>
        <w:kinsoku/>
        <w:wordWrap/>
        <w:overflowPunct/>
        <w:topLinePunct w:val="0"/>
        <w:autoSpaceDE/>
        <w:autoSpaceDN/>
        <w:bidi w:val="0"/>
        <w:spacing w:beforeAutospacing="0" w:afterAutospacing="0" w:line="576" w:lineRule="exact"/>
        <w:ind w:firstLine="640" w:firstLineChars="200"/>
        <w:textAlignment w:val="auto"/>
        <w:rPr>
          <w:rFonts w:hint="eastAsia" w:ascii="楷体_GB2312" w:hAnsi="Calibri" w:eastAsia="楷体_GB2312" w:cs="Times New Roman"/>
          <w:kern w:val="2"/>
          <w:sz w:val="32"/>
          <w:szCs w:val="32"/>
          <w:lang w:val="en-US" w:eastAsia="zh-CN" w:bidi="ar-SA"/>
        </w:rPr>
      </w:pPr>
      <w:r>
        <w:rPr>
          <w:rFonts w:hint="eastAsia" w:ascii="黑体" w:hAnsi="黑体" w:eastAsia="黑体" w:cs="黑体"/>
          <w:b w:val="0"/>
          <w:bCs/>
          <w:sz w:val="32"/>
          <w:szCs w:val="32"/>
          <w:lang w:val="en-US" w:eastAsia="zh-CN"/>
        </w:rPr>
        <w:t>管委会办公室：</w:t>
      </w:r>
      <w:r>
        <w:rPr>
          <w:rFonts w:hint="eastAsia" w:ascii="仿宋_GB2312" w:hAnsi="仿宋_GB2312" w:eastAsia="仿宋_GB2312" w:cs="仿宋_GB2312"/>
          <w:b w:val="0"/>
          <w:bCs/>
          <w:sz w:val="32"/>
          <w:szCs w:val="32"/>
          <w:lang w:val="en-US" w:eastAsia="zh-CN"/>
        </w:rPr>
        <w:t>配合协调疫苗安全事件应急处置信息化应用。</w:t>
      </w:r>
    </w:p>
    <w:p>
      <w:pPr>
        <w:keepNext w:val="0"/>
        <w:keepLines w:val="0"/>
        <w:pageBreakBefore w:val="0"/>
        <w:widowControl w:val="0"/>
        <w:kinsoku/>
        <w:wordWrap/>
        <w:overflowPunct/>
        <w:topLinePunct w:val="0"/>
        <w:autoSpaceDE/>
        <w:autoSpaceDN/>
        <w:bidi w:val="0"/>
        <w:spacing w:beforeAutospacing="0" w:afterAutospacing="0" w:line="576" w:lineRule="exact"/>
        <w:ind w:firstLine="640" w:firstLineChars="200"/>
        <w:textAlignment w:val="auto"/>
        <w:rPr>
          <w:rFonts w:hint="eastAsia" w:ascii="仿宋" w:hAnsi="仿宋" w:eastAsia="仿宋" w:cs="仿宋"/>
          <w:b w:val="0"/>
          <w:bCs/>
          <w:sz w:val="32"/>
          <w:szCs w:val="32"/>
          <w:lang w:eastAsia="zh-CN"/>
        </w:rPr>
      </w:pPr>
      <w:r>
        <w:rPr>
          <w:rFonts w:hint="eastAsia" w:ascii="黑体" w:hAnsi="黑体" w:eastAsia="黑体" w:cs="黑体"/>
          <w:kern w:val="2"/>
          <w:sz w:val="32"/>
          <w:szCs w:val="32"/>
          <w:lang w:val="en-US" w:eastAsia="zh-CN" w:bidi="ar-SA"/>
        </w:rPr>
        <w:t>宣传办公室：</w:t>
      </w:r>
      <w:r>
        <w:rPr>
          <w:rFonts w:hint="eastAsia" w:ascii="仿宋_GB2312" w:hAnsi="仿宋_GB2312" w:eastAsia="仿宋_GB2312" w:cs="仿宋_GB2312"/>
          <w:b w:val="0"/>
          <w:bCs/>
          <w:sz w:val="32"/>
          <w:szCs w:val="32"/>
        </w:rPr>
        <w:t>负责指导疫苗安全事件宣传报道和舆论引导工作</w:t>
      </w:r>
      <w:r>
        <w:rPr>
          <w:rFonts w:hint="eastAsia" w:ascii="仿宋_GB2312" w:hAnsi="仿宋_GB2312" w:eastAsia="仿宋_GB2312" w:cs="仿宋_GB2312"/>
          <w:b w:val="0"/>
          <w:bCs/>
          <w:sz w:val="32"/>
          <w:szCs w:val="32"/>
          <w:lang w:eastAsia="zh-CN"/>
        </w:rPr>
        <w:t>；负责做好互联网舆情的监测分析，加强疫苗安全事件舆情管理；负责组织协调网上宣传，指导互联网有关部门开展相关工作。</w:t>
      </w:r>
    </w:p>
    <w:p>
      <w:pPr>
        <w:keepNext w:val="0"/>
        <w:keepLines w:val="0"/>
        <w:pageBreakBefore w:val="0"/>
        <w:widowControl w:val="0"/>
        <w:kinsoku/>
        <w:wordWrap/>
        <w:overflowPunct/>
        <w:topLinePunct w:val="0"/>
        <w:autoSpaceDE/>
        <w:autoSpaceDN/>
        <w:bidi w:val="0"/>
        <w:spacing w:beforeAutospacing="0" w:afterAutospacing="0" w:line="576" w:lineRule="exact"/>
        <w:ind w:firstLine="640" w:firstLineChars="200"/>
        <w:textAlignment w:val="auto"/>
        <w:rPr>
          <w:rFonts w:hint="eastAsia" w:ascii="仿宋" w:hAnsi="仿宋" w:eastAsia="仿宋" w:cs="仿宋"/>
          <w:b w:val="0"/>
          <w:bCs/>
          <w:sz w:val="32"/>
          <w:szCs w:val="32"/>
          <w:lang w:val="en-US" w:eastAsia="zh-CN"/>
        </w:rPr>
      </w:pPr>
      <w:r>
        <w:rPr>
          <w:rFonts w:hint="eastAsia" w:ascii="黑体" w:hAnsi="黑体" w:eastAsia="黑体" w:cs="黑体"/>
          <w:kern w:val="2"/>
          <w:sz w:val="32"/>
          <w:szCs w:val="32"/>
          <w:lang w:val="en-US" w:eastAsia="zh-CN" w:bidi="ar-SA"/>
        </w:rPr>
        <w:t>商务和投资促进部：</w:t>
      </w:r>
      <w:r>
        <w:rPr>
          <w:rFonts w:hint="eastAsia" w:ascii="仿宋_GB2312" w:hAnsi="仿宋_GB2312" w:eastAsia="仿宋_GB2312" w:cs="仿宋_GB2312"/>
          <w:b w:val="0"/>
          <w:bCs/>
          <w:sz w:val="32"/>
          <w:szCs w:val="32"/>
          <w:lang w:eastAsia="zh-CN"/>
        </w:rPr>
        <w:t>负责协调指导疫苗安全事件涉外事宜的处置</w:t>
      </w:r>
      <w:r>
        <w:rPr>
          <w:rFonts w:hint="eastAsia" w:ascii="仿宋_GB2312" w:hAnsi="仿宋_GB2312" w:eastAsia="仿宋_GB2312" w:cs="仿宋_GB2312"/>
          <w:b w:val="0"/>
          <w:bCs/>
          <w:sz w:val="32"/>
          <w:szCs w:val="32"/>
          <w:lang w:val="en-US" w:eastAsia="zh-CN"/>
        </w:rPr>
        <w:t>工作；负责协调指导疫苗安全事件中涉台港澳人员的处置工作；</w:t>
      </w:r>
      <w:r>
        <w:rPr>
          <w:rFonts w:hint="eastAsia" w:ascii="仿宋_GB2312" w:hAnsi="仿宋_GB2312" w:eastAsia="仿宋_GB2312" w:cs="仿宋_GB2312"/>
          <w:b w:val="0"/>
          <w:bCs/>
          <w:sz w:val="32"/>
          <w:szCs w:val="32"/>
          <w:lang w:eastAsia="zh-CN"/>
        </w:rPr>
        <w:t>负责组织疫苗安全事件生活必需品市场供应，负责建立健全生活必需品、重要消费品市场供应应急管理机制。</w:t>
      </w:r>
    </w:p>
    <w:p>
      <w:pPr>
        <w:keepNext w:val="0"/>
        <w:keepLines w:val="0"/>
        <w:pageBreakBefore w:val="0"/>
        <w:widowControl w:val="0"/>
        <w:kinsoku/>
        <w:wordWrap/>
        <w:overflowPunct/>
        <w:topLinePunct w:val="0"/>
        <w:autoSpaceDE/>
        <w:autoSpaceDN/>
        <w:bidi w:val="0"/>
        <w:spacing w:beforeAutospacing="0" w:afterAutospacing="0" w:line="576" w:lineRule="exact"/>
        <w:ind w:firstLine="640" w:firstLineChars="200"/>
        <w:textAlignment w:val="auto"/>
        <w:rPr>
          <w:rFonts w:hint="eastAsia" w:ascii="仿宋_GB2312" w:hAnsi="仿宋_GB2312" w:eastAsia="仿宋_GB2312" w:cs="仿宋_GB2312"/>
          <w:b w:val="0"/>
          <w:bCs/>
          <w:sz w:val="32"/>
          <w:szCs w:val="32"/>
          <w:lang w:eastAsia="zh-CN"/>
        </w:rPr>
      </w:pPr>
      <w:r>
        <w:rPr>
          <w:rFonts w:hint="eastAsia" w:ascii="黑体" w:hAnsi="黑体" w:eastAsia="黑体" w:cs="黑体"/>
          <w:kern w:val="2"/>
          <w:sz w:val="32"/>
          <w:szCs w:val="32"/>
          <w:lang w:val="en-US" w:eastAsia="zh-CN" w:bidi="ar-SA"/>
        </w:rPr>
        <w:t>经济发展部：</w:t>
      </w:r>
      <w:r>
        <w:rPr>
          <w:rFonts w:hint="eastAsia" w:ascii="仿宋_GB2312" w:hAnsi="仿宋_GB2312" w:eastAsia="仿宋_GB2312" w:cs="仿宋_GB2312"/>
          <w:b w:val="0"/>
          <w:bCs/>
          <w:sz w:val="32"/>
          <w:szCs w:val="32"/>
          <w:lang w:val="en-US" w:eastAsia="zh-CN"/>
        </w:rPr>
        <w:t>负责组织协调疫苗安全事件应急处置期间煤、电、油、气以及其他重要能源物资的紧急调度和交通运输综合协调；负责疫苗安全事件涉及的区级生活安置类救灾物资的收储管理工作；按规定做好区级药品安全事件应急基础设施项目立项审批工作；指导乡镇（街道）有关部门做好本级药品安全事件应急处置基础设施项目审批等工作；</w:t>
      </w:r>
      <w:r>
        <w:rPr>
          <w:rFonts w:hint="eastAsia" w:ascii="仿宋_GB2312" w:hAnsi="仿宋_GB2312" w:eastAsia="仿宋_GB2312" w:cs="仿宋_GB2312"/>
          <w:b w:val="0"/>
          <w:bCs/>
          <w:sz w:val="32"/>
          <w:szCs w:val="32"/>
          <w:lang w:eastAsia="zh-CN"/>
        </w:rPr>
        <w:t>负责组织协调疫苗安全事件应急处置所需物资的生产供应工作；负责组织科研力量，对疫苗安全事件应急处置技术开展科研攻关，协调解决检测技术、药物研发和应用中的科技问题；配合依法查处疫苗安全事件中涉及的违法违规互联网站和应用；负责组织、协调各基础电信运营企业为疫苗安全事件应急处置提供应急通信保障。</w:t>
      </w:r>
    </w:p>
    <w:p>
      <w:pPr>
        <w:keepNext w:val="0"/>
        <w:keepLines w:val="0"/>
        <w:pageBreakBefore w:val="0"/>
        <w:widowControl w:val="0"/>
        <w:kinsoku/>
        <w:wordWrap/>
        <w:overflowPunct/>
        <w:topLinePunct w:val="0"/>
        <w:autoSpaceDE/>
        <w:autoSpaceDN/>
        <w:bidi w:val="0"/>
        <w:spacing w:beforeAutospacing="0" w:afterAutospacing="0" w:line="576" w:lineRule="exact"/>
        <w:ind w:firstLine="640" w:firstLineChars="200"/>
        <w:textAlignment w:val="auto"/>
        <w:rPr>
          <w:rFonts w:hint="eastAsia" w:ascii="仿宋_GB2312" w:hAnsi="仿宋_GB2312" w:eastAsia="仿宋_GB2312" w:cs="仿宋_GB2312"/>
          <w:b w:val="0"/>
          <w:bCs/>
          <w:sz w:val="32"/>
          <w:szCs w:val="32"/>
          <w:lang w:eastAsia="zh-CN"/>
        </w:rPr>
      </w:pPr>
      <w:r>
        <w:rPr>
          <w:rFonts w:hint="eastAsia" w:ascii="黑体" w:hAnsi="黑体" w:eastAsia="黑体" w:cs="黑体"/>
          <w:kern w:val="2"/>
          <w:sz w:val="32"/>
          <w:szCs w:val="32"/>
          <w:lang w:val="en-US" w:eastAsia="zh-CN" w:bidi="ar-SA"/>
        </w:rPr>
        <w:t>教体分局：</w:t>
      </w:r>
      <w:r>
        <w:rPr>
          <w:rFonts w:hint="eastAsia" w:ascii="仿宋_GB2312" w:hAnsi="仿宋_GB2312" w:eastAsia="仿宋_GB2312" w:cs="仿宋_GB2312"/>
          <w:b w:val="0"/>
          <w:bCs/>
          <w:sz w:val="32"/>
          <w:szCs w:val="32"/>
          <w:lang w:eastAsia="zh-CN"/>
        </w:rPr>
        <w:t>负责协助区有关部门开展教育系统各级各类学校（含托幼机构）学生校内疫苗安全事件调查和应急处置工作。</w:t>
      </w:r>
    </w:p>
    <w:p>
      <w:pPr>
        <w:keepNext w:val="0"/>
        <w:keepLines w:val="0"/>
        <w:pageBreakBefore w:val="0"/>
        <w:widowControl w:val="0"/>
        <w:kinsoku/>
        <w:wordWrap/>
        <w:overflowPunct/>
        <w:topLinePunct w:val="0"/>
        <w:autoSpaceDE/>
        <w:autoSpaceDN/>
        <w:bidi w:val="0"/>
        <w:spacing w:beforeAutospacing="0" w:afterAutospacing="0" w:line="576" w:lineRule="exact"/>
        <w:ind w:firstLine="640" w:firstLineChars="200"/>
        <w:textAlignment w:val="auto"/>
        <w:rPr>
          <w:rFonts w:hint="eastAsia" w:ascii="仿宋_GB2312" w:hAnsi="仿宋_GB2312" w:eastAsia="仿宋_GB2312" w:cs="仿宋_GB2312"/>
          <w:b w:val="0"/>
          <w:bCs/>
          <w:sz w:val="32"/>
          <w:szCs w:val="32"/>
          <w:lang w:eastAsia="zh-CN"/>
        </w:rPr>
      </w:pPr>
      <w:r>
        <w:rPr>
          <w:rFonts w:hint="eastAsia" w:ascii="黑体" w:hAnsi="黑体" w:eastAsia="黑体" w:cs="黑体"/>
          <w:kern w:val="2"/>
          <w:sz w:val="32"/>
          <w:szCs w:val="32"/>
          <w:lang w:val="en-US" w:eastAsia="zh-CN" w:bidi="ar-SA"/>
        </w:rPr>
        <w:t>公安分局：</w:t>
      </w:r>
      <w:r>
        <w:rPr>
          <w:rFonts w:hint="eastAsia" w:ascii="仿宋_GB2312" w:hAnsi="仿宋_GB2312" w:eastAsia="仿宋_GB2312" w:cs="仿宋_GB2312"/>
          <w:b w:val="0"/>
          <w:bCs/>
          <w:sz w:val="32"/>
          <w:szCs w:val="32"/>
          <w:lang w:eastAsia="zh-CN"/>
        </w:rPr>
        <w:t>负责事发地治安秩序维护工作；加强周边道路交通管制和应急保畅；依法严厉打击涉疫苗犯罪行为。</w:t>
      </w:r>
    </w:p>
    <w:p>
      <w:pPr>
        <w:keepNext w:val="0"/>
        <w:keepLines w:val="0"/>
        <w:pageBreakBefore w:val="0"/>
        <w:widowControl w:val="0"/>
        <w:kinsoku/>
        <w:wordWrap/>
        <w:overflowPunct/>
        <w:topLinePunct w:val="0"/>
        <w:autoSpaceDE/>
        <w:autoSpaceDN/>
        <w:bidi w:val="0"/>
        <w:spacing w:beforeAutospacing="0" w:afterAutospacing="0" w:line="576" w:lineRule="exact"/>
        <w:ind w:firstLine="640" w:firstLineChars="200"/>
        <w:textAlignment w:val="auto"/>
        <w:rPr>
          <w:rFonts w:hint="eastAsia" w:ascii="仿宋_GB2312" w:hAnsi="仿宋_GB2312" w:eastAsia="仿宋_GB2312" w:cs="仿宋_GB2312"/>
          <w:b w:val="0"/>
          <w:bCs/>
          <w:sz w:val="32"/>
          <w:szCs w:val="32"/>
          <w:lang w:eastAsia="zh-CN"/>
        </w:rPr>
      </w:pPr>
      <w:r>
        <w:rPr>
          <w:rFonts w:hint="eastAsia" w:ascii="黑体" w:hAnsi="黑体" w:eastAsia="黑体" w:cs="黑体"/>
          <w:kern w:val="2"/>
          <w:sz w:val="32"/>
          <w:szCs w:val="32"/>
          <w:lang w:val="en-US" w:eastAsia="zh-CN" w:bidi="ar-SA"/>
        </w:rPr>
        <w:t>司法分局：</w:t>
      </w:r>
      <w:r>
        <w:rPr>
          <w:rFonts w:hint="eastAsia" w:ascii="仿宋_GB2312" w:hAnsi="仿宋_GB2312" w:eastAsia="仿宋_GB2312" w:cs="仿宋_GB2312"/>
          <w:b w:val="0"/>
          <w:bCs/>
          <w:sz w:val="32"/>
          <w:szCs w:val="32"/>
          <w:lang w:eastAsia="zh-CN"/>
        </w:rPr>
        <w:t>负责疫苗安全事件涉法决策的合法性审查工作。</w:t>
      </w:r>
    </w:p>
    <w:p>
      <w:pPr>
        <w:keepNext w:val="0"/>
        <w:keepLines w:val="0"/>
        <w:pageBreakBefore w:val="0"/>
        <w:widowControl w:val="0"/>
        <w:kinsoku/>
        <w:wordWrap/>
        <w:overflowPunct/>
        <w:topLinePunct w:val="0"/>
        <w:autoSpaceDE/>
        <w:autoSpaceDN/>
        <w:bidi w:val="0"/>
        <w:spacing w:beforeAutospacing="0" w:afterAutospacing="0" w:line="576" w:lineRule="exact"/>
        <w:ind w:firstLine="640" w:firstLineChars="200"/>
        <w:textAlignment w:val="auto"/>
        <w:rPr>
          <w:rFonts w:hint="eastAsia" w:ascii="仿宋_GB2312" w:hAnsi="仿宋_GB2312" w:eastAsia="仿宋_GB2312" w:cs="仿宋_GB2312"/>
          <w:b w:val="0"/>
          <w:bCs/>
          <w:sz w:val="32"/>
          <w:szCs w:val="32"/>
          <w:lang w:eastAsia="zh-CN"/>
        </w:rPr>
      </w:pPr>
      <w:r>
        <w:rPr>
          <w:rFonts w:hint="eastAsia" w:ascii="黑体" w:hAnsi="黑体" w:eastAsia="黑体" w:cs="黑体"/>
          <w:kern w:val="2"/>
          <w:sz w:val="32"/>
          <w:szCs w:val="32"/>
          <w:lang w:val="en-US" w:eastAsia="zh-CN" w:bidi="ar-SA"/>
        </w:rPr>
        <w:t>财政金融部：</w:t>
      </w:r>
      <w:r>
        <w:rPr>
          <w:rFonts w:hint="eastAsia" w:ascii="仿宋_GB2312" w:hAnsi="仿宋_GB2312" w:eastAsia="仿宋_GB2312" w:cs="仿宋_GB2312"/>
          <w:b w:val="0"/>
          <w:bCs/>
          <w:sz w:val="32"/>
          <w:szCs w:val="32"/>
          <w:lang w:eastAsia="zh-CN"/>
        </w:rPr>
        <w:t>负责疫苗安全事件资金保障。</w:t>
      </w:r>
    </w:p>
    <w:p>
      <w:pPr>
        <w:keepNext w:val="0"/>
        <w:keepLines w:val="0"/>
        <w:pageBreakBefore w:val="0"/>
        <w:widowControl w:val="0"/>
        <w:kinsoku/>
        <w:wordWrap/>
        <w:overflowPunct/>
        <w:topLinePunct w:val="0"/>
        <w:autoSpaceDE/>
        <w:autoSpaceDN/>
        <w:bidi w:val="0"/>
        <w:spacing w:beforeAutospacing="0" w:afterAutospacing="0" w:line="576" w:lineRule="exact"/>
        <w:ind w:firstLine="640" w:firstLineChars="200"/>
        <w:textAlignment w:val="auto"/>
        <w:rPr>
          <w:rFonts w:hint="eastAsia" w:ascii="仿宋_GB2312" w:hAnsi="仿宋_GB2312" w:eastAsia="仿宋_GB2312" w:cs="仿宋_GB2312"/>
          <w:b w:val="0"/>
          <w:bCs/>
          <w:sz w:val="32"/>
          <w:szCs w:val="32"/>
          <w:lang w:val="en-US" w:eastAsia="zh-CN"/>
        </w:rPr>
      </w:pPr>
      <w:r>
        <w:rPr>
          <w:rFonts w:hint="eastAsia" w:ascii="黑体" w:hAnsi="黑体" w:eastAsia="黑体" w:cs="黑体"/>
          <w:kern w:val="2"/>
          <w:sz w:val="32"/>
          <w:szCs w:val="32"/>
          <w:lang w:val="en-US" w:eastAsia="zh-CN" w:bidi="ar-SA"/>
        </w:rPr>
        <w:t>党群工作部：</w:t>
      </w:r>
      <w:r>
        <w:rPr>
          <w:rFonts w:hint="eastAsia" w:ascii="仿宋_GB2312" w:hAnsi="仿宋_GB2312" w:eastAsia="仿宋_GB2312" w:cs="仿宋_GB2312"/>
          <w:b w:val="0"/>
          <w:bCs/>
          <w:sz w:val="32"/>
          <w:szCs w:val="32"/>
          <w:lang w:eastAsia="zh-CN"/>
        </w:rPr>
        <w:t>负责指导落实参与疫苗安全事件应急处置工作人员的工伤保险，以及事业单位工作人员和集体奖励等政策；负责协助区有关部门开展各级各类技工学校学生校内疫苗安全事件调查和应急处置工作；</w:t>
      </w:r>
      <w:r>
        <w:rPr>
          <w:rFonts w:hint="eastAsia" w:ascii="仿宋_GB2312" w:hAnsi="仿宋_GB2312" w:eastAsia="仿宋_GB2312" w:cs="仿宋_GB2312"/>
          <w:b w:val="0"/>
          <w:bCs/>
          <w:sz w:val="32"/>
          <w:szCs w:val="32"/>
          <w:lang w:val="en-US" w:eastAsia="zh-CN"/>
        </w:rPr>
        <w:t>协调广播电视播出机构宣传疫苗安全事件应急处置的方针政策和有关规定，宣传采取的措施、所做的工作；组织开展相关知识、法律法规和先进人物、事迹的宣传报道。</w:t>
      </w:r>
    </w:p>
    <w:p>
      <w:pPr>
        <w:keepNext w:val="0"/>
        <w:keepLines w:val="0"/>
        <w:pageBreakBefore w:val="0"/>
        <w:widowControl w:val="0"/>
        <w:kinsoku/>
        <w:wordWrap/>
        <w:overflowPunct/>
        <w:topLinePunct w:val="0"/>
        <w:autoSpaceDE/>
        <w:autoSpaceDN/>
        <w:bidi w:val="0"/>
        <w:spacing w:beforeAutospacing="0" w:afterAutospacing="0" w:line="576" w:lineRule="exact"/>
        <w:ind w:firstLine="640" w:firstLineChars="200"/>
        <w:textAlignment w:val="auto"/>
        <w:rPr>
          <w:rFonts w:hint="eastAsia" w:ascii="仿宋_GB2312" w:hAnsi="仿宋_GB2312" w:eastAsia="仿宋_GB2312" w:cs="仿宋_GB2312"/>
          <w:b w:val="0"/>
          <w:bCs/>
          <w:sz w:val="32"/>
          <w:szCs w:val="32"/>
          <w:lang w:eastAsia="zh-CN"/>
        </w:rPr>
      </w:pPr>
      <w:r>
        <w:rPr>
          <w:rFonts w:hint="eastAsia" w:ascii="黑体" w:hAnsi="黑体" w:eastAsia="黑体" w:cs="黑体"/>
          <w:kern w:val="2"/>
          <w:sz w:val="32"/>
          <w:szCs w:val="32"/>
          <w:lang w:val="en-US" w:eastAsia="zh-CN" w:bidi="ar-SA"/>
        </w:rPr>
        <w:t>生态环境分局：</w:t>
      </w:r>
      <w:r>
        <w:rPr>
          <w:rFonts w:hint="eastAsia" w:ascii="仿宋_GB2312" w:hAnsi="仿宋_GB2312" w:eastAsia="仿宋_GB2312" w:cs="仿宋_GB2312"/>
          <w:b w:val="0"/>
          <w:bCs/>
          <w:sz w:val="32"/>
          <w:szCs w:val="32"/>
          <w:lang w:eastAsia="zh-CN"/>
        </w:rPr>
        <w:t>负责医疗废物收集、运送、储存、处置等环境污染防治监督管理工作。</w:t>
      </w:r>
    </w:p>
    <w:p>
      <w:pPr>
        <w:keepNext w:val="0"/>
        <w:keepLines w:val="0"/>
        <w:pageBreakBefore w:val="0"/>
        <w:widowControl w:val="0"/>
        <w:kinsoku/>
        <w:wordWrap/>
        <w:overflowPunct/>
        <w:topLinePunct w:val="0"/>
        <w:autoSpaceDE/>
        <w:autoSpaceDN/>
        <w:bidi w:val="0"/>
        <w:spacing w:beforeAutospacing="0" w:afterAutospacing="0" w:line="576" w:lineRule="exact"/>
        <w:ind w:firstLine="640" w:firstLineChars="200"/>
        <w:textAlignment w:val="auto"/>
        <w:rPr>
          <w:rFonts w:hint="eastAsia" w:ascii="仿宋_GB2312" w:hAnsi="仿宋_GB2312" w:eastAsia="仿宋_GB2312" w:cs="仿宋_GB2312"/>
          <w:b w:val="0"/>
          <w:bCs/>
          <w:sz w:val="32"/>
          <w:szCs w:val="32"/>
          <w:lang w:eastAsia="zh-CN"/>
        </w:rPr>
      </w:pPr>
      <w:r>
        <w:rPr>
          <w:rFonts w:hint="eastAsia" w:ascii="黑体" w:hAnsi="黑体" w:eastAsia="黑体" w:cs="黑体"/>
          <w:kern w:val="2"/>
          <w:sz w:val="32"/>
          <w:szCs w:val="32"/>
          <w:lang w:val="en-US" w:eastAsia="zh-CN" w:bidi="ar-SA"/>
        </w:rPr>
        <w:t>建设管理部：</w:t>
      </w:r>
      <w:r>
        <w:rPr>
          <w:rFonts w:hint="eastAsia" w:ascii="仿宋_GB2312" w:hAnsi="仿宋_GB2312" w:eastAsia="仿宋_GB2312" w:cs="仿宋_GB2312"/>
          <w:b w:val="0"/>
          <w:bCs/>
          <w:sz w:val="32"/>
          <w:szCs w:val="32"/>
          <w:lang w:eastAsia="zh-CN"/>
        </w:rPr>
        <w:t>组织协调公路、水路交通运输保障工作，保障疫苗安全事件应急处置人员和药品、医疗卫生设备和器材、快速检验检测技术和试剂等的优先快速通行。</w:t>
      </w:r>
    </w:p>
    <w:p>
      <w:pPr>
        <w:keepNext w:val="0"/>
        <w:keepLines w:val="0"/>
        <w:pageBreakBefore w:val="0"/>
        <w:widowControl w:val="0"/>
        <w:kinsoku/>
        <w:wordWrap/>
        <w:overflowPunct/>
        <w:topLinePunct w:val="0"/>
        <w:autoSpaceDE/>
        <w:autoSpaceDN/>
        <w:bidi w:val="0"/>
        <w:spacing w:beforeAutospacing="0" w:afterAutospacing="0" w:line="576" w:lineRule="exact"/>
        <w:ind w:firstLine="640" w:firstLineChars="200"/>
        <w:textAlignment w:val="auto"/>
        <w:rPr>
          <w:rFonts w:hint="eastAsia" w:ascii="仿宋_GB2312" w:hAnsi="仿宋_GB2312" w:eastAsia="仿宋_GB2312" w:cs="仿宋_GB2312"/>
          <w:b w:val="0"/>
          <w:bCs/>
          <w:sz w:val="32"/>
          <w:szCs w:val="32"/>
          <w:lang w:eastAsia="zh-CN"/>
        </w:rPr>
      </w:pPr>
      <w:r>
        <w:rPr>
          <w:rFonts w:hint="eastAsia" w:ascii="黑体" w:hAnsi="黑体" w:eastAsia="黑体" w:cs="黑体"/>
          <w:kern w:val="2"/>
          <w:sz w:val="32"/>
          <w:szCs w:val="32"/>
          <w:lang w:val="en-US" w:eastAsia="zh-CN" w:bidi="ar-SA"/>
        </w:rPr>
        <w:t>卫健管理办公室：</w:t>
      </w:r>
      <w:r>
        <w:rPr>
          <w:rFonts w:hint="eastAsia" w:ascii="仿宋_GB2312" w:hAnsi="仿宋_GB2312" w:eastAsia="仿宋_GB2312" w:cs="仿宋_GB2312"/>
          <w:b w:val="0"/>
          <w:bCs/>
          <w:sz w:val="32"/>
          <w:szCs w:val="32"/>
          <w:lang w:eastAsia="zh-CN"/>
        </w:rPr>
        <w:t>负责组织协调相关医疗机构、疾病预防控制机构和接种单位，开展疫苗安全事件患者医疗救治；配合市场监管部门做好疫苗安全事件的调查处理。</w:t>
      </w:r>
    </w:p>
    <w:p>
      <w:pPr>
        <w:keepNext w:val="0"/>
        <w:keepLines w:val="0"/>
        <w:pageBreakBefore w:val="0"/>
        <w:widowControl w:val="0"/>
        <w:kinsoku/>
        <w:wordWrap/>
        <w:overflowPunct/>
        <w:topLinePunct w:val="0"/>
        <w:autoSpaceDE/>
        <w:autoSpaceDN/>
        <w:bidi w:val="0"/>
        <w:spacing w:beforeAutospacing="0" w:afterAutospacing="0" w:line="576" w:lineRule="exact"/>
        <w:ind w:firstLine="640" w:firstLineChars="200"/>
        <w:textAlignment w:val="auto"/>
        <w:rPr>
          <w:rFonts w:hint="eastAsia" w:ascii="仿宋_GB2312" w:hAnsi="仿宋_GB2312" w:eastAsia="仿宋_GB2312" w:cs="仿宋_GB2312"/>
          <w:b w:val="0"/>
          <w:bCs/>
          <w:sz w:val="32"/>
          <w:szCs w:val="32"/>
          <w:lang w:eastAsia="zh-CN"/>
        </w:rPr>
      </w:pPr>
      <w:r>
        <w:rPr>
          <w:rFonts w:hint="eastAsia" w:ascii="黑体" w:hAnsi="黑体" w:eastAsia="黑体" w:cs="黑体"/>
          <w:kern w:val="2"/>
          <w:sz w:val="32"/>
          <w:szCs w:val="32"/>
          <w:lang w:val="en-US" w:eastAsia="zh-CN" w:bidi="ar-SA"/>
        </w:rPr>
        <w:t>应急管理处：</w:t>
      </w:r>
      <w:r>
        <w:rPr>
          <w:rFonts w:hint="eastAsia" w:ascii="仿宋_GB2312" w:hAnsi="仿宋_GB2312" w:eastAsia="仿宋_GB2312" w:cs="仿宋_GB2312"/>
          <w:b w:val="0"/>
          <w:bCs/>
          <w:sz w:val="32"/>
          <w:szCs w:val="32"/>
          <w:lang w:eastAsia="zh-CN"/>
        </w:rPr>
        <w:t>指导协调有关地方政府做好疫苗安全事件受威胁区域尚未感染群众的转移、安置和生活救助工作；根据职责做好相关企业安全监管及应急处置相关工作。</w:t>
      </w:r>
    </w:p>
    <w:p>
      <w:pPr>
        <w:keepNext w:val="0"/>
        <w:keepLines w:val="0"/>
        <w:pageBreakBefore w:val="0"/>
        <w:widowControl w:val="0"/>
        <w:kinsoku/>
        <w:wordWrap/>
        <w:overflowPunct/>
        <w:topLinePunct w:val="0"/>
        <w:autoSpaceDE/>
        <w:autoSpaceDN/>
        <w:bidi w:val="0"/>
        <w:spacing w:beforeAutospacing="0" w:afterAutospacing="0" w:line="576" w:lineRule="exact"/>
        <w:ind w:firstLine="640" w:firstLineChars="200"/>
        <w:textAlignment w:val="auto"/>
        <w:rPr>
          <w:rFonts w:hint="eastAsia" w:ascii="仿宋_GB2312" w:hAnsi="仿宋_GB2312" w:eastAsia="仿宋_GB2312" w:cs="仿宋_GB2312"/>
          <w:b w:val="0"/>
          <w:bCs/>
          <w:sz w:val="32"/>
          <w:szCs w:val="32"/>
          <w:lang w:eastAsia="zh-CN"/>
        </w:rPr>
      </w:pPr>
      <w:r>
        <w:rPr>
          <w:rFonts w:hint="eastAsia" w:ascii="黑体" w:hAnsi="黑体" w:eastAsia="黑体" w:cs="黑体"/>
          <w:kern w:val="2"/>
          <w:sz w:val="32"/>
          <w:szCs w:val="32"/>
          <w:lang w:val="en-US" w:eastAsia="zh-CN" w:bidi="ar-SA"/>
        </w:rPr>
        <w:t>市场监督管理部：</w:t>
      </w:r>
      <w:r>
        <w:rPr>
          <w:rFonts w:hint="eastAsia" w:ascii="仿宋_GB2312" w:hAnsi="仿宋_GB2312" w:eastAsia="仿宋_GB2312" w:cs="仿宋_GB2312"/>
          <w:b w:val="0"/>
          <w:bCs/>
          <w:sz w:val="32"/>
          <w:szCs w:val="32"/>
          <w:lang w:eastAsia="zh-CN"/>
        </w:rPr>
        <w:t>负责收集和上报疫苗安全事件信息；协调有关部门、单位开展应急处置工作；控制突发事件所涉及的相关疫苗；负责对疫苗安全事件进行调查处理和相关技术鉴定等工作，防止或减轻社会危害。依法查处虚假宣传违法广告；查处借机囤积居奇、哄抬价格等违法行为，维护正常市场秩序。</w:t>
      </w:r>
    </w:p>
    <w:p>
      <w:pPr>
        <w:keepNext w:val="0"/>
        <w:keepLines w:val="0"/>
        <w:pageBreakBefore w:val="0"/>
        <w:widowControl w:val="0"/>
        <w:kinsoku/>
        <w:wordWrap/>
        <w:overflowPunct/>
        <w:topLinePunct w:val="0"/>
        <w:autoSpaceDE/>
        <w:autoSpaceDN/>
        <w:bidi w:val="0"/>
        <w:spacing w:beforeAutospacing="0" w:afterAutospacing="0" w:line="576" w:lineRule="exact"/>
        <w:ind w:firstLine="640" w:firstLineChars="200"/>
        <w:textAlignment w:val="auto"/>
        <w:rPr>
          <w:rFonts w:hint="eastAsia" w:ascii="仿宋_GB2312" w:hAnsi="仿宋_GB2312" w:eastAsia="仿宋_GB2312" w:cs="仿宋_GB2312"/>
          <w:b w:val="0"/>
          <w:bCs/>
          <w:sz w:val="32"/>
          <w:szCs w:val="32"/>
          <w:lang w:eastAsia="zh-CN"/>
        </w:rPr>
      </w:pPr>
      <w:r>
        <w:rPr>
          <w:rFonts w:hint="eastAsia" w:ascii="黑体" w:hAnsi="黑体" w:eastAsia="黑体" w:cs="黑体"/>
          <w:kern w:val="2"/>
          <w:sz w:val="32"/>
          <w:szCs w:val="32"/>
          <w:lang w:val="en-US" w:eastAsia="zh-CN" w:bidi="ar-SA"/>
        </w:rPr>
        <w:t>政法维稳处：</w:t>
      </w:r>
      <w:r>
        <w:rPr>
          <w:rFonts w:hint="eastAsia" w:ascii="仿宋_GB2312" w:hAnsi="仿宋_GB2312" w:eastAsia="仿宋_GB2312" w:cs="仿宋_GB2312"/>
          <w:b w:val="0"/>
          <w:bCs/>
          <w:sz w:val="32"/>
          <w:szCs w:val="32"/>
          <w:lang w:eastAsia="zh-CN"/>
        </w:rPr>
        <w:t>配合做好疫苗安全事件信访问题协调、应急处置工作。</w:t>
      </w:r>
    </w:p>
    <w:p>
      <w:pPr>
        <w:keepNext w:val="0"/>
        <w:keepLines w:val="0"/>
        <w:pageBreakBefore w:val="0"/>
        <w:widowControl w:val="0"/>
        <w:kinsoku/>
        <w:wordWrap/>
        <w:overflowPunct/>
        <w:topLinePunct w:val="0"/>
        <w:autoSpaceDE/>
        <w:autoSpaceDN/>
        <w:bidi w:val="0"/>
        <w:spacing w:beforeAutospacing="0" w:afterAutospacing="0" w:line="576" w:lineRule="exact"/>
        <w:ind w:firstLine="640" w:firstLineChars="200"/>
        <w:textAlignment w:val="auto"/>
        <w:rPr>
          <w:rFonts w:hint="eastAsia" w:ascii="仿宋" w:hAnsi="仿宋" w:eastAsia="仿宋" w:cs="仿宋"/>
          <w:b w:val="0"/>
          <w:bCs/>
          <w:sz w:val="32"/>
          <w:szCs w:val="32"/>
        </w:rPr>
      </w:pPr>
    </w:p>
    <w:p>
      <w:pPr>
        <w:keepNext w:val="0"/>
        <w:keepLines w:val="0"/>
        <w:pageBreakBefore w:val="0"/>
        <w:widowControl w:val="0"/>
        <w:kinsoku/>
        <w:wordWrap/>
        <w:overflowPunct/>
        <w:topLinePunct w:val="0"/>
        <w:autoSpaceDE/>
        <w:autoSpaceDN/>
        <w:bidi w:val="0"/>
        <w:spacing w:beforeAutospacing="0" w:afterAutospacing="0" w:line="576" w:lineRule="exact"/>
        <w:ind w:firstLine="640" w:firstLineChars="200"/>
        <w:textAlignment w:val="auto"/>
        <w:rPr>
          <w:rFonts w:hint="eastAsia" w:ascii="仿宋" w:hAnsi="仿宋" w:eastAsia="仿宋" w:cs="仿宋"/>
          <w:b w:val="0"/>
          <w:bCs/>
          <w:sz w:val="32"/>
          <w:szCs w:val="32"/>
        </w:rPr>
      </w:pPr>
    </w:p>
    <w:p>
      <w:pPr>
        <w:keepNext w:val="0"/>
        <w:keepLines w:val="0"/>
        <w:pageBreakBefore w:val="0"/>
        <w:widowControl w:val="0"/>
        <w:kinsoku/>
        <w:wordWrap/>
        <w:overflowPunct/>
        <w:topLinePunct w:val="0"/>
        <w:autoSpaceDE/>
        <w:autoSpaceDN/>
        <w:bidi w:val="0"/>
        <w:spacing w:beforeAutospacing="0" w:afterAutospacing="0" w:line="576" w:lineRule="exact"/>
        <w:ind w:firstLine="640" w:firstLineChars="200"/>
        <w:textAlignment w:val="auto"/>
        <w:rPr>
          <w:rFonts w:hint="eastAsia" w:ascii="仿宋" w:hAnsi="仿宋" w:eastAsia="仿宋" w:cs="仿宋"/>
          <w:b w:val="0"/>
          <w:bCs/>
          <w:sz w:val="32"/>
          <w:szCs w:val="32"/>
        </w:rPr>
      </w:pPr>
    </w:p>
    <w:p>
      <w:pPr>
        <w:keepNext w:val="0"/>
        <w:keepLines w:val="0"/>
        <w:pageBreakBefore w:val="0"/>
        <w:widowControl w:val="0"/>
        <w:kinsoku/>
        <w:wordWrap/>
        <w:overflowPunct/>
        <w:topLinePunct w:val="0"/>
        <w:autoSpaceDE/>
        <w:autoSpaceDN/>
        <w:bidi w:val="0"/>
        <w:spacing w:beforeAutospacing="0" w:afterAutospacing="0" w:line="576" w:lineRule="exact"/>
        <w:ind w:firstLine="640" w:firstLineChars="200"/>
        <w:textAlignment w:val="auto"/>
        <w:rPr>
          <w:rFonts w:hint="eastAsia" w:ascii="仿宋" w:hAnsi="仿宋" w:eastAsia="仿宋" w:cs="仿宋"/>
          <w:b w:val="0"/>
          <w:bCs/>
          <w:sz w:val="32"/>
          <w:szCs w:val="32"/>
        </w:rPr>
      </w:pPr>
    </w:p>
    <w:p>
      <w:pPr>
        <w:keepNext w:val="0"/>
        <w:keepLines w:val="0"/>
        <w:pageBreakBefore w:val="0"/>
        <w:widowControl w:val="0"/>
        <w:kinsoku/>
        <w:wordWrap/>
        <w:overflowPunct/>
        <w:topLinePunct w:val="0"/>
        <w:autoSpaceDE/>
        <w:autoSpaceDN/>
        <w:bidi w:val="0"/>
        <w:spacing w:beforeAutospacing="0" w:afterAutospacing="0" w:line="576" w:lineRule="exact"/>
        <w:ind w:firstLine="640" w:firstLineChars="200"/>
        <w:textAlignment w:val="auto"/>
        <w:rPr>
          <w:rFonts w:hint="eastAsia" w:ascii="仿宋" w:hAnsi="仿宋" w:eastAsia="仿宋" w:cs="仿宋"/>
          <w:b w:val="0"/>
          <w:bCs/>
          <w:sz w:val="32"/>
          <w:szCs w:val="32"/>
        </w:rPr>
      </w:pPr>
    </w:p>
    <w:p>
      <w:pPr>
        <w:keepNext w:val="0"/>
        <w:keepLines w:val="0"/>
        <w:pageBreakBefore w:val="0"/>
        <w:widowControl w:val="0"/>
        <w:kinsoku/>
        <w:wordWrap/>
        <w:overflowPunct/>
        <w:topLinePunct w:val="0"/>
        <w:autoSpaceDE/>
        <w:autoSpaceDN/>
        <w:bidi w:val="0"/>
        <w:spacing w:beforeAutospacing="0" w:afterAutospacing="0" w:line="576" w:lineRule="exact"/>
        <w:textAlignment w:val="auto"/>
        <w:rPr>
          <w:rFonts w:hint="eastAsia" w:ascii="仿宋" w:hAnsi="仿宋" w:eastAsia="仿宋" w:cs="仿宋"/>
          <w:b w:val="0"/>
          <w:bCs/>
          <w:sz w:val="32"/>
          <w:szCs w:val="32"/>
        </w:rPr>
      </w:pPr>
    </w:p>
    <w:p>
      <w:pPr>
        <w:pStyle w:val="3"/>
        <w:keepNext w:val="0"/>
        <w:keepLines w:val="0"/>
        <w:pageBreakBefore w:val="0"/>
        <w:widowControl w:val="0"/>
        <w:kinsoku/>
        <w:wordWrap/>
        <w:overflowPunct/>
        <w:topLinePunct w:val="0"/>
        <w:autoSpaceDE/>
        <w:autoSpaceDN/>
        <w:bidi w:val="0"/>
        <w:spacing w:before="0" w:beforeAutospacing="0" w:after="0" w:afterAutospacing="0" w:line="576" w:lineRule="exact"/>
        <w:textAlignment w:val="auto"/>
        <w:rPr>
          <w:rFonts w:hint="eastAsia"/>
        </w:rPr>
      </w:pPr>
    </w:p>
    <w:p>
      <w:pPr>
        <w:rPr>
          <w:rFonts w:hint="eastAsia"/>
        </w:rPr>
      </w:pPr>
    </w:p>
    <w:p>
      <w:pPr>
        <w:pStyle w:val="3"/>
        <w:rPr>
          <w:rFonts w:hint="eastAsia"/>
        </w:rPr>
      </w:pPr>
    </w:p>
    <w:p>
      <w:pPr>
        <w:rPr>
          <w:rFonts w:hint="eastAsia"/>
        </w:rPr>
      </w:pPr>
    </w:p>
    <w:p>
      <w:pPr>
        <w:pStyle w:val="2"/>
        <w:rPr>
          <w:rFonts w:hint="eastAsia"/>
        </w:rPr>
      </w:pPr>
    </w:p>
    <w:p>
      <w:pPr>
        <w:rPr>
          <w:rFonts w:hint="eastAsia"/>
        </w:rPr>
      </w:pPr>
    </w:p>
    <w:p>
      <w:pPr>
        <w:spacing w:line="600" w:lineRule="exact"/>
        <w:jc w:val="left"/>
        <w:rPr>
          <w:rFonts w:hint="eastAsia" w:ascii="黑体" w:hAnsi="黑体" w:eastAsia="黑体" w:cs="黑体"/>
          <w:b w:val="0"/>
          <w:bCs/>
          <w:sz w:val="32"/>
          <w:szCs w:val="32"/>
        </w:rPr>
      </w:pPr>
      <w:r>
        <w:rPr>
          <w:rFonts w:hint="eastAsia" w:ascii="黑体" w:hAnsi="黑体" w:eastAsia="黑体" w:cs="黑体"/>
          <w:b w:val="0"/>
          <w:bCs/>
          <w:sz w:val="32"/>
          <w:szCs w:val="32"/>
        </w:rPr>
        <w:t>附件3</w:t>
      </w:r>
    </w:p>
    <w:p>
      <w:pPr>
        <w:spacing w:line="600" w:lineRule="exact"/>
        <w:ind w:left="320" w:hanging="440" w:hangingChars="100"/>
        <w:jc w:val="center"/>
        <w:rPr>
          <w:rFonts w:hint="eastAsia" w:ascii="仿宋_GB2312" w:hAnsi="仿宋_GB2312" w:eastAsia="仿宋_GB2312" w:cs="仿宋_GB2312"/>
          <w:b w:val="0"/>
          <w:bCs/>
          <w:sz w:val="32"/>
          <w:szCs w:val="32"/>
          <w:lang w:val="en-US" w:eastAsia="zh-CN"/>
        </w:rPr>
      </w:pPr>
      <w:r>
        <w:rPr>
          <w:rFonts w:hint="eastAsia" w:ascii="方正小标宋简体" w:hAnsi="方正小标宋简体" w:eastAsia="方正小标宋简体" w:cs="方正小标宋简体"/>
          <w:b w:val="0"/>
          <w:bCs/>
          <w:sz w:val="44"/>
          <w:szCs w:val="44"/>
        </w:rPr>
        <w:t>疫苗安全重大信息报告表</w:t>
      </w:r>
    </w:p>
    <w:tbl>
      <w:tblPr>
        <w:tblStyle w:val="8"/>
        <w:tblpPr w:leftFromText="180" w:rightFromText="180" w:vertAnchor="page" w:horzAnchor="page" w:tblpX="1710" w:tblpY="396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5"/>
        <w:gridCol w:w="2192"/>
        <w:gridCol w:w="1716"/>
        <w:gridCol w:w="621"/>
        <w:gridCol w:w="2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5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事件名称</w:t>
            </w:r>
          </w:p>
        </w:tc>
        <w:tc>
          <w:tcPr>
            <w:tcW w:w="6927"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32"/>
                <w:szCs w:val="32"/>
                <w:u w:val="thic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15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事发地点</w:t>
            </w:r>
          </w:p>
        </w:tc>
        <w:tc>
          <w:tcPr>
            <w:tcW w:w="219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32"/>
                <w:szCs w:val="32"/>
                <w:u w:val="thick"/>
              </w:rPr>
            </w:pPr>
          </w:p>
        </w:tc>
        <w:tc>
          <w:tcPr>
            <w:tcW w:w="233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涉及单位</w:t>
            </w:r>
          </w:p>
        </w:tc>
        <w:tc>
          <w:tcPr>
            <w:tcW w:w="239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32"/>
                <w:szCs w:val="32"/>
                <w:u w:val="thic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15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发生时间</w:t>
            </w:r>
          </w:p>
        </w:tc>
        <w:tc>
          <w:tcPr>
            <w:tcW w:w="6927"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1600" w:firstLineChars="500"/>
              <w:jc w:val="both"/>
              <w:textAlignment w:val="auto"/>
              <w:rPr>
                <w:rFonts w:hint="eastAsia" w:ascii="仿宋_GB2312" w:hAnsi="仿宋_GB2312" w:eastAsia="仿宋_GB2312" w:cs="仿宋_GB2312"/>
                <w:b w:val="0"/>
                <w:bCs/>
                <w:sz w:val="32"/>
                <w:szCs w:val="32"/>
                <w:u w:val="thick"/>
              </w:rPr>
            </w:pPr>
            <w:r>
              <w:rPr>
                <w:rFonts w:hint="eastAsia" w:ascii="仿宋_GB2312" w:hAnsi="仿宋_GB2312" w:eastAsia="仿宋_GB2312" w:cs="仿宋_GB2312"/>
                <w:b w:val="0"/>
                <w:bCs/>
                <w:sz w:val="32"/>
                <w:szCs w:val="32"/>
              </w:rPr>
              <w:t>年    月    日    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15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初步判断</w:t>
            </w:r>
          </w:p>
        </w:tc>
        <w:tc>
          <w:tcPr>
            <w:tcW w:w="6927"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（）特大（Ι级）           （）重大（Ⅱ级）</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val="0"/>
                <w:bCs/>
                <w:sz w:val="32"/>
                <w:szCs w:val="32"/>
                <w:u w:val="thick"/>
              </w:rPr>
            </w:pPr>
            <w:r>
              <w:rPr>
                <w:rFonts w:hint="eastAsia" w:ascii="仿宋_GB2312" w:hAnsi="仿宋_GB2312" w:eastAsia="仿宋_GB2312" w:cs="仿宋_GB2312"/>
                <w:b w:val="0"/>
                <w:bCs/>
                <w:sz w:val="32"/>
                <w:szCs w:val="32"/>
              </w:rPr>
              <w:t>（）较大</w:t>
            </w:r>
            <w:r>
              <w:rPr>
                <w:rFonts w:hint="eastAsia" w:ascii="仿宋_GB2312" w:hAnsi="仿宋_GB2312" w:eastAsia="仿宋_GB2312" w:cs="仿宋_GB2312"/>
                <w:b w:val="0"/>
                <w:bCs/>
                <w:spacing w:val="2"/>
                <w:sz w:val="32"/>
                <w:szCs w:val="32"/>
              </w:rPr>
              <w:t xml:space="preserve"> </w:t>
            </w:r>
            <w:r>
              <w:rPr>
                <w:rFonts w:hint="eastAsia" w:ascii="仿宋_GB2312" w:hAnsi="仿宋_GB2312" w:eastAsia="仿宋_GB2312" w:cs="仿宋_GB2312"/>
                <w:b w:val="0"/>
                <w:bCs/>
                <w:sz w:val="32"/>
                <w:szCs w:val="32"/>
              </w:rPr>
              <w:t>（Ⅲ级）</w:t>
            </w:r>
            <w:r>
              <w:rPr>
                <w:rFonts w:hint="eastAsia" w:ascii="仿宋_GB2312" w:hAnsi="仿宋_GB2312" w:eastAsia="仿宋_GB2312" w:cs="仿宋_GB2312"/>
                <w:b w:val="0"/>
                <w:bCs/>
                <w:spacing w:val="2"/>
                <w:sz w:val="32"/>
                <w:szCs w:val="32"/>
              </w:rPr>
              <w:t xml:space="preserve">    </w:t>
            </w:r>
            <w:r>
              <w:rPr>
                <w:rFonts w:hint="eastAsia" w:ascii="仿宋_GB2312" w:hAnsi="仿宋_GB2312" w:eastAsia="仿宋_GB2312" w:cs="仿宋_GB2312"/>
                <w:b w:val="0"/>
                <w:bCs/>
                <w:sz w:val="32"/>
                <w:szCs w:val="32"/>
              </w:rPr>
              <w:t xml:space="preserve">      （）一般（Ⅳ级）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5" w:hRule="atLeast"/>
        </w:trPr>
        <w:tc>
          <w:tcPr>
            <w:tcW w:w="15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基本情况</w:t>
            </w:r>
          </w:p>
        </w:tc>
        <w:tc>
          <w:tcPr>
            <w:tcW w:w="6927"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（主要包括事件概况、报告和通报情况，已采取的措施</w:t>
            </w:r>
            <w:r>
              <w:rPr>
                <w:rFonts w:hint="eastAsia" w:ascii="仿宋_GB2312" w:hAnsi="仿宋_GB2312" w:eastAsia="仿宋_GB2312" w:cs="仿宋_GB2312"/>
                <w:b w:val="0"/>
                <w:bCs/>
                <w:sz w:val="32"/>
                <w:szCs w:val="32"/>
                <w:lang w:eastAsia="zh-CN"/>
              </w:rPr>
              <w:t>或后续采取的措施</w:t>
            </w:r>
            <w:r>
              <w:rPr>
                <w:rFonts w:hint="eastAsia" w:ascii="仿宋_GB2312" w:hAnsi="仿宋_GB2312" w:eastAsia="仿宋_GB2312" w:cs="仿宋_GB2312"/>
                <w:b w:val="0"/>
                <w:bCs/>
                <w:sz w:val="32"/>
                <w:szCs w:val="32"/>
              </w:rPr>
              <w:t>。）</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 w:val="0"/>
                <w:bCs/>
                <w:sz w:val="32"/>
                <w:szCs w:val="32"/>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32"/>
                <w:szCs w:val="32"/>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32"/>
                <w:szCs w:val="32"/>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32"/>
                <w:szCs w:val="32"/>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32"/>
                <w:szCs w:val="32"/>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32"/>
                <w:szCs w:val="32"/>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32"/>
                <w:szCs w:val="32"/>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32"/>
                <w:szCs w:val="32"/>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b w:val="0"/>
                <w:bCs/>
                <w:sz w:val="32"/>
                <w:szCs w:val="32"/>
                <w:u w:val="thic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15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报告单位</w:t>
            </w:r>
          </w:p>
        </w:tc>
        <w:tc>
          <w:tcPr>
            <w:tcW w:w="219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32"/>
                <w:szCs w:val="32"/>
              </w:rPr>
            </w:pPr>
          </w:p>
        </w:tc>
        <w:tc>
          <w:tcPr>
            <w:tcW w:w="171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报告时间</w:t>
            </w:r>
          </w:p>
        </w:tc>
        <w:tc>
          <w:tcPr>
            <w:tcW w:w="301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32"/>
                <w:szCs w:val="32"/>
                <w:u w:val="thic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5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报告人</w:t>
            </w:r>
          </w:p>
        </w:tc>
        <w:tc>
          <w:tcPr>
            <w:tcW w:w="219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32"/>
                <w:szCs w:val="32"/>
              </w:rPr>
            </w:pPr>
          </w:p>
        </w:tc>
        <w:tc>
          <w:tcPr>
            <w:tcW w:w="171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联系电话</w:t>
            </w:r>
          </w:p>
        </w:tc>
        <w:tc>
          <w:tcPr>
            <w:tcW w:w="3019" w:type="dxa"/>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座机：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val="0"/>
                <w:bCs/>
                <w:sz w:val="32"/>
                <w:szCs w:val="32"/>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手机：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val="0"/>
                <w:bCs/>
                <w:sz w:val="32"/>
                <w:szCs w:val="32"/>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val="0"/>
                <w:bCs/>
                <w:sz w:val="32"/>
                <w:szCs w:val="32"/>
                <w:u w:val="thick"/>
              </w:rPr>
            </w:pPr>
            <w:r>
              <w:rPr>
                <w:rFonts w:hint="eastAsia" w:ascii="仿宋_GB2312" w:hAnsi="仿宋_GB2312" w:eastAsia="仿宋_GB2312" w:cs="仿宋_GB2312"/>
                <w:b w:val="0"/>
                <w:bCs/>
                <w:sz w:val="32"/>
                <w:szCs w:val="32"/>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5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职务</w:t>
            </w:r>
          </w:p>
        </w:tc>
        <w:tc>
          <w:tcPr>
            <w:tcW w:w="219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32"/>
                <w:szCs w:val="32"/>
              </w:rPr>
            </w:pPr>
          </w:p>
        </w:tc>
        <w:tc>
          <w:tcPr>
            <w:tcW w:w="171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32"/>
                <w:szCs w:val="32"/>
              </w:rPr>
            </w:pPr>
          </w:p>
        </w:tc>
        <w:tc>
          <w:tcPr>
            <w:tcW w:w="3019"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32"/>
                <w:szCs w:val="32"/>
                <w:u w:val="thick"/>
              </w:rPr>
            </w:pPr>
          </w:p>
        </w:tc>
      </w:tr>
    </w:tbl>
    <w:p>
      <w:pPr>
        <w:spacing w:line="600" w:lineRule="exact"/>
        <w:jc w:val="center"/>
        <w:rPr>
          <w:rFonts w:hint="eastAsia" w:ascii="方正小标宋简体" w:hAnsi="方正小标宋简体" w:eastAsia="方正小标宋简体" w:cs="方正小标宋简体"/>
          <w:b w:val="0"/>
          <w:bCs/>
          <w:sz w:val="44"/>
          <w:szCs w:val="44"/>
        </w:rPr>
      </w:pP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lang w:val="en-US" w:eastAsia="zh-CN"/>
        </w:rPr>
        <w:sym w:font="Wingdings 2" w:char="00A3"/>
      </w:r>
      <w:r>
        <w:rPr>
          <w:rFonts w:hint="eastAsia" w:ascii="仿宋_GB2312" w:hAnsi="仿宋_GB2312" w:eastAsia="仿宋_GB2312" w:cs="仿宋_GB2312"/>
          <w:b w:val="0"/>
          <w:bCs/>
          <w:sz w:val="32"/>
          <w:szCs w:val="32"/>
          <w:lang w:val="en-US" w:eastAsia="zh-CN"/>
        </w:rPr>
        <w:t>初报 □续报</w:t>
      </w:r>
    </w:p>
    <w:p>
      <w:pPr>
        <w:spacing w:line="600" w:lineRule="exact"/>
        <w:ind w:left="320" w:hanging="320" w:hangingChars="100"/>
        <w:jc w:val="both"/>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注：本表可以根据实际情况多页填写。</w:t>
      </w:r>
    </w:p>
    <w:p>
      <w:pPr>
        <w:pStyle w:val="3"/>
        <w:rPr>
          <w:rFonts w:hint="eastAsia" w:ascii="仿宋_GB2312" w:hAnsi="仿宋_GB2312" w:eastAsia="仿宋_GB2312" w:cs="仿宋_GB2312"/>
          <w:b w:val="0"/>
          <w:bCs/>
          <w:color w:val="000000"/>
          <w:sz w:val="32"/>
          <w:szCs w:val="32"/>
        </w:rPr>
      </w:pPr>
    </w:p>
    <w:p>
      <w:pPr>
        <w:rPr>
          <w:rFonts w:hint="eastAsia" w:ascii="仿宋_GB2312" w:hAnsi="仿宋_GB2312" w:eastAsia="仿宋_GB2312" w:cs="仿宋_GB2312"/>
          <w:b w:val="0"/>
          <w:bCs/>
          <w:color w:val="000000"/>
          <w:sz w:val="32"/>
          <w:szCs w:val="32"/>
        </w:rPr>
      </w:pPr>
    </w:p>
    <w:p>
      <w:pPr>
        <w:pStyle w:val="3"/>
        <w:rPr>
          <w:rFonts w:hint="eastAsia" w:ascii="仿宋_GB2312" w:hAnsi="仿宋_GB2312" w:eastAsia="仿宋_GB2312" w:cs="仿宋_GB2312"/>
          <w:b w:val="0"/>
          <w:bCs/>
          <w:color w:val="000000"/>
          <w:sz w:val="32"/>
          <w:szCs w:val="32"/>
        </w:rPr>
      </w:pPr>
    </w:p>
    <w:p>
      <w:pPr>
        <w:pStyle w:val="4"/>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keepNext w:val="0"/>
        <w:keepLines w:val="0"/>
        <w:pageBreakBefore w:val="0"/>
        <w:widowControl w:val="0"/>
        <w:pBdr>
          <w:top w:val="single" w:color="000000" w:sz="4" w:space="0"/>
          <w:bottom w:val="single" w:color="000000" w:sz="4" w:space="0"/>
        </w:pBdr>
        <w:kinsoku/>
        <w:wordWrap/>
        <w:overflowPunct/>
        <w:topLinePunct w:val="0"/>
        <w:autoSpaceDE/>
        <w:autoSpaceDN/>
        <w:bidi w:val="0"/>
        <w:adjustRightInd/>
        <w:snapToGrid/>
        <w:spacing w:line="540" w:lineRule="exact"/>
        <w:textAlignment w:val="auto"/>
        <w:rPr>
          <w:rFonts w:hint="default" w:ascii="Times New Roman" w:hAnsi="Times New Roman" w:cs="Times New Roman"/>
          <w:lang w:eastAsia="zh-CN"/>
        </w:rPr>
      </w:pPr>
      <w:r>
        <w:rPr>
          <w:rFonts w:hint="default" w:ascii="Times New Roman" w:hAnsi="Times New Roman" w:eastAsia="仿宋_GB2312" w:cs="Times New Roman"/>
          <w:spacing w:val="-6"/>
          <w:sz w:val="28"/>
          <w:szCs w:val="28"/>
          <w:lang w:eastAsia="zh-CN"/>
        </w:rPr>
        <w:t>聊城</w:t>
      </w:r>
      <w:r>
        <w:rPr>
          <w:rFonts w:hint="default" w:ascii="Times New Roman" w:hAnsi="Times New Roman" w:eastAsia="仿宋_GB2312" w:cs="Times New Roman"/>
          <w:spacing w:val="-6"/>
          <w:sz w:val="28"/>
          <w:szCs w:val="28"/>
        </w:rPr>
        <w:t>经济技术开发区</w:t>
      </w:r>
      <w:r>
        <w:rPr>
          <w:rFonts w:hint="default" w:ascii="Times New Roman" w:hAnsi="Times New Roman" w:eastAsia="仿宋_GB2312" w:cs="Times New Roman"/>
          <w:spacing w:val="-6"/>
          <w:sz w:val="28"/>
          <w:szCs w:val="28"/>
          <w:lang w:val="en-US" w:eastAsia="zh-CN"/>
        </w:rPr>
        <w:t>管理委员会</w:t>
      </w:r>
      <w:r>
        <w:rPr>
          <w:rFonts w:hint="default" w:ascii="Times New Roman" w:hAnsi="Times New Roman" w:eastAsia="仿宋_GB2312" w:cs="Times New Roman"/>
          <w:spacing w:val="-6"/>
          <w:sz w:val="28"/>
          <w:szCs w:val="28"/>
        </w:rPr>
        <w:t>办公室</w:t>
      </w:r>
      <w:r>
        <w:rPr>
          <w:rFonts w:hint="default" w:ascii="Times New Roman" w:hAnsi="Times New Roman" w:eastAsia="仿宋_GB2312" w:cs="Times New Roman"/>
          <w:spacing w:val="-6"/>
          <w:sz w:val="28"/>
          <w:szCs w:val="28"/>
          <w:lang w:val="en-US" w:eastAsia="zh-CN"/>
        </w:rPr>
        <w:t xml:space="preserve">             </w:t>
      </w:r>
      <w:r>
        <w:rPr>
          <w:rFonts w:hint="default" w:ascii="Times New Roman" w:hAnsi="Times New Roman" w:eastAsia="仿宋_GB2312" w:cs="Times New Roman"/>
          <w:spacing w:val="-6"/>
          <w:sz w:val="28"/>
          <w:szCs w:val="28"/>
        </w:rPr>
        <w:t>20</w:t>
      </w:r>
      <w:r>
        <w:rPr>
          <w:rFonts w:hint="default" w:ascii="Times New Roman" w:hAnsi="Times New Roman" w:eastAsia="仿宋_GB2312" w:cs="Times New Roman"/>
          <w:spacing w:val="-6"/>
          <w:sz w:val="28"/>
          <w:szCs w:val="28"/>
          <w:lang w:val="en-US" w:eastAsia="zh-CN"/>
        </w:rPr>
        <w:t>23</w:t>
      </w:r>
      <w:r>
        <w:rPr>
          <w:rFonts w:hint="default" w:ascii="Times New Roman" w:hAnsi="Times New Roman" w:eastAsia="仿宋_GB2312" w:cs="Times New Roman"/>
          <w:spacing w:val="-6"/>
          <w:sz w:val="28"/>
          <w:szCs w:val="28"/>
        </w:rPr>
        <w:t>年</w:t>
      </w:r>
      <w:r>
        <w:rPr>
          <w:rFonts w:hint="default" w:ascii="Times New Roman" w:hAnsi="Times New Roman" w:eastAsia="仿宋_GB2312" w:cs="Times New Roman"/>
          <w:spacing w:val="-6"/>
          <w:sz w:val="28"/>
          <w:szCs w:val="28"/>
          <w:lang w:val="en-US" w:eastAsia="zh-CN"/>
        </w:rPr>
        <w:t>12</w:t>
      </w:r>
      <w:r>
        <w:rPr>
          <w:rFonts w:hint="default" w:ascii="Times New Roman" w:hAnsi="Times New Roman" w:eastAsia="仿宋_GB2312" w:cs="Times New Roman"/>
          <w:spacing w:val="-6"/>
          <w:sz w:val="28"/>
          <w:szCs w:val="28"/>
        </w:rPr>
        <w:t>月</w:t>
      </w:r>
      <w:r>
        <w:rPr>
          <w:rFonts w:hint="default" w:ascii="Times New Roman" w:hAnsi="Times New Roman" w:eastAsia="仿宋_GB2312" w:cs="Times New Roman"/>
          <w:spacing w:val="-6"/>
          <w:sz w:val="28"/>
          <w:szCs w:val="28"/>
          <w:lang w:val="en-US" w:eastAsia="zh-CN"/>
        </w:rPr>
        <w:t>26</w:t>
      </w:r>
      <w:r>
        <w:rPr>
          <w:rFonts w:hint="default" w:ascii="Times New Roman" w:hAnsi="Times New Roman" w:eastAsia="仿宋_GB2312" w:cs="Times New Roman"/>
          <w:spacing w:val="-6"/>
          <w:sz w:val="28"/>
          <w:szCs w:val="28"/>
        </w:rPr>
        <w:t>日印发</w:t>
      </w:r>
      <w:r>
        <w:rPr>
          <w:rFonts w:hint="default" w:ascii="Times New Roman" w:hAnsi="Times New Roman" w:cs="Times New Roman"/>
          <w:sz w:val="21"/>
        </w:rPr>
        <mc:AlternateContent>
          <mc:Choice Requires="wps">
            <w:drawing>
              <wp:anchor distT="0" distB="0" distL="114300" distR="114300" simplePos="0" relativeHeight="251704320" behindDoc="0" locked="0" layoutInCell="1" allowOverlap="1">
                <wp:simplePos x="0" y="0"/>
                <wp:positionH relativeFrom="column">
                  <wp:posOffset>-180340</wp:posOffset>
                </wp:positionH>
                <wp:positionV relativeFrom="paragraph">
                  <wp:posOffset>7793990</wp:posOffset>
                </wp:positionV>
                <wp:extent cx="1127760" cy="901065"/>
                <wp:effectExtent l="0" t="0" r="15240" b="13335"/>
                <wp:wrapNone/>
                <wp:docPr id="3" name="文本框 3"/>
                <wp:cNvGraphicFramePr/>
                <a:graphic xmlns:a="http://schemas.openxmlformats.org/drawingml/2006/main">
                  <a:graphicData uri="http://schemas.microsoft.com/office/word/2010/wordprocessingShape">
                    <wps:wsp>
                      <wps:cNvSpPr txBox="1"/>
                      <wps:spPr>
                        <a:xfrm>
                          <a:off x="0" y="0"/>
                          <a:ext cx="1127760" cy="901065"/>
                        </a:xfrm>
                        <a:prstGeom prst="rect">
                          <a:avLst/>
                        </a:prstGeom>
                        <a:solidFill>
                          <a:srgbClr val="FFFFFF"/>
                        </a:solidFill>
                        <a:ln>
                          <a:noFill/>
                        </a:ln>
                        <a:effectLst/>
                      </wps:spPr>
                      <wps:txbx>
                        <w:txbxContent>
                          <w:p/>
                        </w:txbxContent>
                      </wps:txbx>
                      <wps:bodyPr upright="1"/>
                    </wps:wsp>
                  </a:graphicData>
                </a:graphic>
              </wp:anchor>
            </w:drawing>
          </mc:Choice>
          <mc:Fallback>
            <w:pict>
              <v:shape id="_x0000_s1026" o:spid="_x0000_s1026" o:spt="202" type="#_x0000_t202" style="position:absolute;left:0pt;margin-left:-14.2pt;margin-top:613.7pt;height:70.95pt;width:88.8pt;z-index:251704320;mso-width-relative:page;mso-height-relative:page;" fillcolor="#FFFFFF" filled="t" stroked="f" coordsize="21600,21600" o:gfxdata="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A5D9fdkAAAANAQAADwAAAAAAAAABACAAAAAiAAAAZHJzL2Rvd25y&#10;ZXYueG1sUEsBAhQAFAAAAAgAh07iQHSgOPnEAQAAhQMAAA4AAAAAAAAAAQAgAAAAKAEAAGRycy9l&#10;Mm9Eb2MueG1sUEsFBgAAAAAGAAYAWQEAAF4FAAAAAA==&#10;">
                <v:fill on="t" focussize="0,0"/>
                <v:stroke on="f"/>
                <v:imagedata o:title=""/>
                <o:lock v:ext="edit" aspectratio="f"/>
                <v:textbox>
                  <w:txbxContent>
                    <w:p/>
                  </w:txbxContent>
                </v:textbox>
              </v:shape>
            </w:pict>
          </mc:Fallback>
        </mc:AlternateContent>
      </w:r>
      <w:r>
        <w:rPr>
          <w:rFonts w:hint="default" w:ascii="Times New Roman" w:hAnsi="Times New Roman" w:cs="Times New Roman"/>
          <w:sz w:val="24"/>
        </w:rPr>
        <mc:AlternateContent>
          <mc:Choice Requires="wps">
            <w:drawing>
              <wp:anchor distT="0" distB="0" distL="114300" distR="114300" simplePos="0" relativeHeight="251705344" behindDoc="0" locked="0" layoutInCell="1" allowOverlap="1">
                <wp:simplePos x="0" y="0"/>
                <wp:positionH relativeFrom="column">
                  <wp:posOffset>-610870</wp:posOffset>
                </wp:positionH>
                <wp:positionV relativeFrom="paragraph">
                  <wp:posOffset>7498715</wp:posOffset>
                </wp:positionV>
                <wp:extent cx="2632075" cy="1693545"/>
                <wp:effectExtent l="0" t="0" r="15875" b="1905"/>
                <wp:wrapNone/>
                <wp:docPr id="5" name="文本框 5"/>
                <wp:cNvGraphicFramePr/>
                <a:graphic xmlns:a="http://schemas.openxmlformats.org/drawingml/2006/main">
                  <a:graphicData uri="http://schemas.microsoft.com/office/word/2010/wordprocessingShape">
                    <wps:wsp>
                      <wps:cNvSpPr txBox="1"/>
                      <wps:spPr>
                        <a:xfrm>
                          <a:off x="361315" y="8794750"/>
                          <a:ext cx="2632075" cy="1693545"/>
                        </a:xfrm>
                        <a:prstGeom prst="rect">
                          <a:avLst/>
                        </a:prstGeom>
                        <a:solidFill>
                          <a:srgbClr val="FFFFFF"/>
                        </a:solidFill>
                        <a:ln w="6350">
                          <a:no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8.1pt;margin-top:590.45pt;height:133.35pt;width:207.25pt;z-index:251705344;mso-width-relative:page;mso-height-relative:page;" fillcolor="#FFFFFF" filled="t" stroked="f" coordsize="21600,21600" o:gfxdata="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FNZx4/YAAAADQEAAA8AAAAAAAAAAQAgAAAAIgAAAGRycy9kb3ducmV2LnhtbFBLAQIUABQA&#10;AAAIAIdO4kCs8rAwYgIAAKkEAAAOAAAAAAAAAAEAIAAAACcBAABkcnMvZTJvRG9jLnhtbFBLBQYA&#10;AAAABgAGAFkBAAD7BQAAAAA=&#10;">
                <v:fill on="t" focussize="0,0"/>
                <v:stroke on="f" weight="0.5pt"/>
                <v:imagedata o:title=""/>
                <o:lock v:ext="edit" aspectratio="f"/>
                <v:textbox>
                  <w:txbxContent>
                    <w:p/>
                  </w:txbxContent>
                </v:textbox>
              </v:shape>
            </w:pict>
          </mc:Fallback>
        </mc:AlternateContent>
      </w:r>
    </w:p>
    <w:sectPr>
      <w:footerReference r:id="rId3" w:type="default"/>
      <w:pgSz w:w="11906" w:h="16838"/>
      <w:pgMar w:top="2041" w:right="1531" w:bottom="2041" w:left="1531" w:header="851" w:footer="1701"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inorEastAsia" w:hAnsiTheme="minorEastAsia" w:eastAsiaTheme="minorEastAsia" w:cstheme="minorEastAsia"/>
                              <w:sz w:val="28"/>
                              <w:szCs w:val="28"/>
                              <w:lang w:val="en-US" w:eastAsia="zh-CN"/>
                            </w:rPr>
                          </w:pPr>
                          <w:r>
                            <w:rPr>
                              <w:rFonts w:hint="eastAsia" w:ascii="宋体" w:hAnsi="宋体" w:eastAsia="宋体" w:cs="宋体"/>
                              <w:sz w:val="28"/>
                              <w:szCs w:val="28"/>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cstheme="minorEastAsia"/>
                              <w:sz w:val="28"/>
                              <w:szCs w:val="28"/>
                              <w:lang w:val="en-US" w:eastAsia="zh-CN"/>
                            </w:rPr>
                            <w:t xml:space="preserve"> </w:t>
                          </w:r>
                          <w:r>
                            <w:rPr>
                              <w:rFonts w:hint="eastAsia" w:ascii="宋体" w:hAnsi="宋体" w:eastAsia="宋体" w:cs="宋体"/>
                              <w:sz w:val="28"/>
                              <w:szCs w:val="28"/>
                              <w:lang w:val="en-US"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9bQWsy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tBazICAABj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asciiTheme="minorEastAsia" w:hAnsiTheme="minorEastAsia" w:eastAsiaTheme="minorEastAsia" w:cstheme="minorEastAsia"/>
                        <w:sz w:val="28"/>
                        <w:szCs w:val="28"/>
                        <w:lang w:val="en-US" w:eastAsia="zh-CN"/>
                      </w:rPr>
                    </w:pPr>
                    <w:r>
                      <w:rPr>
                        <w:rFonts w:hint="eastAsia" w:ascii="宋体" w:hAnsi="宋体" w:eastAsia="宋体" w:cs="宋体"/>
                        <w:sz w:val="28"/>
                        <w:szCs w:val="28"/>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cstheme="minorEastAsia"/>
                        <w:sz w:val="28"/>
                        <w:szCs w:val="28"/>
                        <w:lang w:val="en-US" w:eastAsia="zh-CN"/>
                      </w:rPr>
                      <w:t xml:space="preserve"> </w:t>
                    </w:r>
                    <w:r>
                      <w:rPr>
                        <w:rFonts w:hint="eastAsia" w:ascii="宋体" w:hAnsi="宋体" w:eastAsia="宋体" w:cs="宋体"/>
                        <w:sz w:val="28"/>
                        <w:szCs w:val="28"/>
                        <w:lang w:val="en-US"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B86D9F"/>
    <w:multiLevelType w:val="singleLevel"/>
    <w:tmpl w:val="3FB86D9F"/>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0MDNjN2NkZDEwYThkYzNlOTgyOWZlNGRkYWZkMDEifQ=="/>
    <w:docVar w:name="KSO_WPS_MARK_KEY" w:val="ffb5a95a-5ffc-470d-b76b-8782777bd5a9"/>
  </w:docVars>
  <w:rsids>
    <w:rsidRoot w:val="0C715001"/>
    <w:rsid w:val="00A34C53"/>
    <w:rsid w:val="02F05C02"/>
    <w:rsid w:val="06416BD2"/>
    <w:rsid w:val="06E82415"/>
    <w:rsid w:val="07A1092D"/>
    <w:rsid w:val="086454D4"/>
    <w:rsid w:val="09011381"/>
    <w:rsid w:val="0A907D14"/>
    <w:rsid w:val="0C715001"/>
    <w:rsid w:val="0E19366C"/>
    <w:rsid w:val="11B00A36"/>
    <w:rsid w:val="123A3FE7"/>
    <w:rsid w:val="135B2C24"/>
    <w:rsid w:val="16BC793D"/>
    <w:rsid w:val="17D82A95"/>
    <w:rsid w:val="19940C3D"/>
    <w:rsid w:val="1CF50255"/>
    <w:rsid w:val="1E7F5E8D"/>
    <w:rsid w:val="1EF65EF6"/>
    <w:rsid w:val="23480E6E"/>
    <w:rsid w:val="24561251"/>
    <w:rsid w:val="25B326CF"/>
    <w:rsid w:val="26413A79"/>
    <w:rsid w:val="2C4B162F"/>
    <w:rsid w:val="2FC42004"/>
    <w:rsid w:val="31FE7144"/>
    <w:rsid w:val="32136ADD"/>
    <w:rsid w:val="325A081E"/>
    <w:rsid w:val="32F66AEE"/>
    <w:rsid w:val="33C23C0F"/>
    <w:rsid w:val="36B23059"/>
    <w:rsid w:val="37022B95"/>
    <w:rsid w:val="3A986AFB"/>
    <w:rsid w:val="3F3E6DD2"/>
    <w:rsid w:val="421A3479"/>
    <w:rsid w:val="46F74BFA"/>
    <w:rsid w:val="47273F26"/>
    <w:rsid w:val="49D77F80"/>
    <w:rsid w:val="49F650FB"/>
    <w:rsid w:val="4A2A2D74"/>
    <w:rsid w:val="4A3B0ADD"/>
    <w:rsid w:val="4C3E2AF8"/>
    <w:rsid w:val="4D477799"/>
    <w:rsid w:val="4EBA2F55"/>
    <w:rsid w:val="50074343"/>
    <w:rsid w:val="51F138FE"/>
    <w:rsid w:val="527E7795"/>
    <w:rsid w:val="537D5CC3"/>
    <w:rsid w:val="54F902BD"/>
    <w:rsid w:val="56222B52"/>
    <w:rsid w:val="568A3CC6"/>
    <w:rsid w:val="5794182D"/>
    <w:rsid w:val="57A75A04"/>
    <w:rsid w:val="5CA01402"/>
    <w:rsid w:val="5CA52B9C"/>
    <w:rsid w:val="5DFF0350"/>
    <w:rsid w:val="623C31ED"/>
    <w:rsid w:val="63826730"/>
    <w:rsid w:val="64446389"/>
    <w:rsid w:val="64AD5FC5"/>
    <w:rsid w:val="6780592A"/>
    <w:rsid w:val="67E1286C"/>
    <w:rsid w:val="68400EBA"/>
    <w:rsid w:val="68E048D2"/>
    <w:rsid w:val="69272B88"/>
    <w:rsid w:val="69676DA1"/>
    <w:rsid w:val="6ED52CC1"/>
    <w:rsid w:val="71970440"/>
    <w:rsid w:val="73A10BEF"/>
    <w:rsid w:val="73F64FDE"/>
    <w:rsid w:val="748C325A"/>
    <w:rsid w:val="76BD3E98"/>
    <w:rsid w:val="78104B40"/>
    <w:rsid w:val="7860333A"/>
    <w:rsid w:val="795D3D1D"/>
    <w:rsid w:val="7AF32F69"/>
    <w:rsid w:val="7B0362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spacing w:before="100" w:beforeAutospacing="1" w:after="100" w:afterAutospacing="1"/>
      <w:jc w:val="left"/>
      <w:outlineLvl w:val="1"/>
    </w:pPr>
    <w:rPr>
      <w:rFonts w:hint="eastAsia" w:ascii="宋体" w:hAnsi="宋体"/>
      <w:b/>
      <w:kern w:val="0"/>
      <w:sz w:val="36"/>
      <w:szCs w:val="36"/>
    </w:rPr>
  </w:style>
  <w:style w:type="paragraph" w:styleId="4">
    <w:name w:val="heading 3"/>
    <w:basedOn w:val="1"/>
    <w:next w:val="1"/>
    <w:qFormat/>
    <w:uiPriority w:val="0"/>
    <w:pPr>
      <w:spacing w:before="100" w:beforeAutospacing="1" w:after="100" w:afterAutospacing="1"/>
      <w:jc w:val="left"/>
      <w:outlineLvl w:val="2"/>
    </w:pPr>
    <w:rPr>
      <w:rFonts w:ascii="宋体" w:hAnsi="Times New Roman"/>
      <w:b/>
      <w:kern w:val="0"/>
      <w:sz w:val="27"/>
      <w:szCs w:val="27"/>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toa heading"/>
    <w:basedOn w:val="1"/>
    <w:next w:val="1"/>
    <w:qFormat/>
    <w:uiPriority w:val="99"/>
    <w:pPr>
      <w:spacing w:before="120"/>
    </w:pPr>
    <w:rPr>
      <w:rFonts w:ascii="Arial" w:hAnsi="Arial" w:cs="Arial"/>
      <w:sz w:val="24"/>
    </w:rPr>
  </w:style>
  <w:style w:type="paragraph" w:styleId="5">
    <w:name w:val="footer"/>
    <w:basedOn w:val="1"/>
    <w:qFormat/>
    <w:uiPriority w:val="99"/>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widowControl/>
      <w:spacing w:beforeAutospacing="1" w:afterAutospacing="1"/>
      <w:jc w:val="left"/>
    </w:pPr>
    <w:rPr>
      <w:rFonts w:hint="eastAsia" w:ascii="宋体" w:hAnsi="宋体"/>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80</Pages>
  <Words>31873</Words>
  <Characters>32576</Characters>
  <Lines>0</Lines>
  <Paragraphs>0</Paragraphs>
  <TotalTime>43</TotalTime>
  <ScaleCrop>false</ScaleCrop>
  <LinksUpToDate>false</LinksUpToDate>
  <CharactersWithSpaces>32824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2023-12-21T10:06:00Z</dcterms:created>
  <dc:creator>WPS_1691566587</dc:creator>
  <cp:lastModifiedBy>JFY</cp:lastModifiedBy>
  <cp:lastPrinted>2023-12-26T08:09:00Z</cp:lastPrinted>
  <dcterms:modified xsi:type="dcterms:W3CDTF">2024-01-02T07:02:07Z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20BB2647D4564F82A92A97C646DAA349_13</vt:lpwstr>
  </property>
</Properties>
</file>